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25"/>
        <w:gridCol w:w="7491"/>
      </w:tblGrid>
      <w:tr w:rsidR="00BC5FC9" w:rsidRPr="00BC5FC9" w14:paraId="2E4D188D" w14:textId="77777777" w:rsidTr="00842381">
        <w:tc>
          <w:tcPr>
            <w:tcW w:w="9016" w:type="dxa"/>
            <w:gridSpan w:val="2"/>
          </w:tcPr>
          <w:p w14:paraId="5F53D632" w14:textId="77777777" w:rsidR="00BC5FC9" w:rsidRPr="00BC5FC9" w:rsidRDefault="00BC5FC9" w:rsidP="00BC5FC9">
            <w:pPr>
              <w:autoSpaceDE w:val="0"/>
              <w:autoSpaceDN w:val="0"/>
              <w:adjustRightInd w:val="0"/>
              <w:spacing w:line="360" w:lineRule="auto"/>
              <w:jc w:val="center"/>
              <w:rPr>
                <w:rFonts w:ascii="Arial" w:eastAsia="Calibri" w:hAnsi="Arial" w:cs="Arial"/>
                <w:b/>
                <w:color w:val="000000" w:themeColor="text1"/>
                <w:sz w:val="28"/>
                <w:szCs w:val="28"/>
                <w:lang w:val="en-GB" w:eastAsia="en-US"/>
              </w:rPr>
            </w:pPr>
            <w:bookmarkStart w:id="0" w:name="_GoBack"/>
            <w:bookmarkEnd w:id="0"/>
            <w:r w:rsidRPr="00BC5FC9">
              <w:rPr>
                <w:rFonts w:ascii="Arial" w:eastAsia="Calibri" w:hAnsi="Arial" w:cs="Arial"/>
                <w:b/>
                <w:color w:val="000000" w:themeColor="text1"/>
                <w:sz w:val="28"/>
                <w:szCs w:val="28"/>
                <w:lang w:val="en-GB" w:eastAsia="en-US"/>
              </w:rPr>
              <w:t>22</w:t>
            </w:r>
            <w:r w:rsidRPr="00BC5FC9">
              <w:rPr>
                <w:rFonts w:ascii="Arial" w:eastAsia="Calibri" w:hAnsi="Arial" w:cs="Arial"/>
                <w:b/>
                <w:color w:val="000000" w:themeColor="text1"/>
                <w:sz w:val="28"/>
                <w:szCs w:val="28"/>
                <w:vertAlign w:val="superscript"/>
                <w:lang w:val="en-GB" w:eastAsia="en-US"/>
              </w:rPr>
              <w:t>nd</w:t>
            </w:r>
            <w:r w:rsidRPr="00BC5FC9">
              <w:rPr>
                <w:rFonts w:ascii="Arial" w:eastAsia="Calibri" w:hAnsi="Arial" w:cs="Arial"/>
                <w:b/>
                <w:color w:val="000000" w:themeColor="text1"/>
                <w:sz w:val="28"/>
                <w:szCs w:val="28"/>
                <w:lang w:val="en-GB" w:eastAsia="en-US"/>
              </w:rPr>
              <w:t xml:space="preserve"> NIH Scientific Conference</w:t>
            </w:r>
          </w:p>
        </w:tc>
      </w:tr>
      <w:tr w:rsidR="00BC5FC9" w:rsidRPr="00BC5FC9" w14:paraId="15D51884" w14:textId="77777777" w:rsidTr="00842381">
        <w:tc>
          <w:tcPr>
            <w:tcW w:w="1525" w:type="dxa"/>
          </w:tcPr>
          <w:p w14:paraId="5EB3B1A3" w14:textId="77777777" w:rsidR="00BC5FC9" w:rsidRPr="00BC5FC9" w:rsidRDefault="00BC5FC9" w:rsidP="00BC5FC9">
            <w:pPr>
              <w:autoSpaceDE w:val="0"/>
              <w:autoSpaceDN w:val="0"/>
              <w:adjustRightInd w:val="0"/>
              <w:spacing w:line="360" w:lineRule="auto"/>
              <w:jc w:val="both"/>
              <w:rPr>
                <w:rFonts w:ascii="Arial" w:eastAsia="Calibri" w:hAnsi="Arial" w:cs="Arial"/>
                <w:bCs/>
                <w:color w:val="000000" w:themeColor="text1"/>
                <w:lang w:val="en-GB" w:eastAsia="en-US"/>
              </w:rPr>
            </w:pPr>
            <w:r w:rsidRPr="00BC5FC9">
              <w:rPr>
                <w:rFonts w:ascii="Arial" w:eastAsia="Calibri" w:hAnsi="Arial" w:cs="Arial"/>
                <w:bCs/>
                <w:color w:val="000000" w:themeColor="text1"/>
                <w:lang w:val="en-GB" w:eastAsia="en-US"/>
              </w:rPr>
              <w:t>Category</w:t>
            </w:r>
          </w:p>
        </w:tc>
        <w:tc>
          <w:tcPr>
            <w:tcW w:w="7491" w:type="dxa"/>
          </w:tcPr>
          <w:p w14:paraId="2EB2A0F1" w14:textId="77777777" w:rsidR="00BC5FC9" w:rsidRPr="00BC5FC9" w:rsidRDefault="00BC5FC9" w:rsidP="00BC5FC9">
            <w:pPr>
              <w:autoSpaceDE w:val="0"/>
              <w:autoSpaceDN w:val="0"/>
              <w:adjustRightInd w:val="0"/>
              <w:spacing w:line="360" w:lineRule="auto"/>
              <w:jc w:val="both"/>
              <w:rPr>
                <w:rFonts w:ascii="Arial" w:eastAsia="Calibri" w:hAnsi="Arial" w:cs="Arial"/>
                <w:bCs/>
                <w:color w:val="000000" w:themeColor="text1"/>
                <w:lang w:val="en-GB" w:eastAsia="en-US"/>
              </w:rPr>
            </w:pPr>
            <w:r w:rsidRPr="00BC5FC9">
              <w:rPr>
                <w:rFonts w:ascii="Arial" w:eastAsia="Calibri" w:hAnsi="Arial" w:cs="Arial"/>
                <w:bCs/>
                <w:color w:val="000000" w:themeColor="text1"/>
                <w:lang w:val="en-GB" w:eastAsia="en-US"/>
              </w:rPr>
              <w:t>Public Health</w:t>
            </w:r>
          </w:p>
        </w:tc>
      </w:tr>
      <w:tr w:rsidR="00BC5FC9" w:rsidRPr="00BC5FC9" w14:paraId="66818398" w14:textId="77777777" w:rsidTr="00842381">
        <w:tc>
          <w:tcPr>
            <w:tcW w:w="1525" w:type="dxa"/>
          </w:tcPr>
          <w:p w14:paraId="2B1A4710" w14:textId="77777777" w:rsidR="00BC5FC9" w:rsidRPr="00BC5FC9" w:rsidRDefault="00BC5FC9" w:rsidP="00BC5FC9">
            <w:pPr>
              <w:autoSpaceDE w:val="0"/>
              <w:autoSpaceDN w:val="0"/>
              <w:adjustRightInd w:val="0"/>
              <w:spacing w:line="360" w:lineRule="auto"/>
              <w:jc w:val="both"/>
              <w:rPr>
                <w:rFonts w:ascii="Arial" w:eastAsia="Calibri" w:hAnsi="Arial" w:cs="Arial"/>
                <w:bCs/>
                <w:color w:val="000000" w:themeColor="text1"/>
                <w:lang w:val="en-GB" w:eastAsia="en-US"/>
              </w:rPr>
            </w:pPr>
            <w:r w:rsidRPr="00BC5FC9">
              <w:rPr>
                <w:rFonts w:ascii="Arial" w:eastAsia="Calibri" w:hAnsi="Arial" w:cs="Arial"/>
                <w:bCs/>
                <w:color w:val="000000" w:themeColor="text1"/>
                <w:lang w:val="en-GB" w:eastAsia="en-US"/>
              </w:rPr>
              <w:t>Title</w:t>
            </w:r>
          </w:p>
        </w:tc>
        <w:tc>
          <w:tcPr>
            <w:tcW w:w="7491" w:type="dxa"/>
          </w:tcPr>
          <w:p w14:paraId="2A24F2C0" w14:textId="0C4572D8" w:rsidR="00BC5FC9" w:rsidRPr="00BC5FC9" w:rsidRDefault="00BC5FC9" w:rsidP="00BC5FC9">
            <w:pPr>
              <w:autoSpaceDE w:val="0"/>
              <w:autoSpaceDN w:val="0"/>
              <w:adjustRightInd w:val="0"/>
              <w:spacing w:line="360" w:lineRule="auto"/>
              <w:jc w:val="both"/>
              <w:rPr>
                <w:rFonts w:ascii="Arial" w:eastAsia="Calibri" w:hAnsi="Arial" w:cs="Arial"/>
                <w:bCs/>
                <w:color w:val="000000" w:themeColor="text1"/>
                <w:lang w:val="en-GB" w:eastAsia="en-US"/>
              </w:rPr>
            </w:pPr>
            <w:r w:rsidRPr="00BC5FC9">
              <w:rPr>
                <w:rFonts w:ascii="Arial" w:eastAsia="Calibri" w:hAnsi="Arial" w:cs="Arial"/>
                <w:bCs/>
                <w:color w:val="000000" w:themeColor="text1"/>
                <w:lang w:val="en-GB" w:eastAsia="en-US"/>
              </w:rPr>
              <w:t xml:space="preserve">Factors Influencing Adherence to </w:t>
            </w:r>
            <w:r w:rsidR="00A33436">
              <w:rPr>
                <w:rFonts w:ascii="Arial" w:eastAsia="Calibri" w:hAnsi="Arial" w:cs="Arial"/>
                <w:bCs/>
                <w:color w:val="000000" w:themeColor="text1"/>
                <w:lang w:val="en-GB" w:eastAsia="en-US"/>
              </w:rPr>
              <w:t>L</w:t>
            </w:r>
            <w:r w:rsidR="00112575">
              <w:rPr>
                <w:rFonts w:ascii="Arial" w:eastAsia="Calibri" w:hAnsi="Arial" w:cs="Arial"/>
                <w:bCs/>
                <w:color w:val="000000" w:themeColor="text1"/>
                <w:lang w:val="en-GB" w:eastAsia="en-US"/>
              </w:rPr>
              <w:t xml:space="preserve">ow </w:t>
            </w:r>
            <w:r w:rsidR="00A33436">
              <w:rPr>
                <w:rFonts w:ascii="Arial" w:eastAsia="Calibri" w:hAnsi="Arial" w:cs="Arial"/>
                <w:bCs/>
                <w:color w:val="000000" w:themeColor="text1"/>
                <w:lang w:val="en-GB" w:eastAsia="en-US"/>
              </w:rPr>
              <w:t>S</w:t>
            </w:r>
            <w:r w:rsidR="00112575">
              <w:rPr>
                <w:rFonts w:ascii="Arial" w:eastAsia="Calibri" w:hAnsi="Arial" w:cs="Arial"/>
                <w:bCs/>
                <w:color w:val="000000" w:themeColor="text1"/>
                <w:lang w:val="en-GB" w:eastAsia="en-US"/>
              </w:rPr>
              <w:t xml:space="preserve">alt and </w:t>
            </w:r>
            <w:r w:rsidR="00A33436">
              <w:rPr>
                <w:rFonts w:ascii="Arial" w:eastAsia="Calibri" w:hAnsi="Arial" w:cs="Arial"/>
                <w:bCs/>
                <w:color w:val="000000" w:themeColor="text1"/>
                <w:lang w:val="en-GB" w:eastAsia="en-US"/>
              </w:rPr>
              <w:t>H</w:t>
            </w:r>
            <w:r w:rsidR="00112575">
              <w:rPr>
                <w:rFonts w:ascii="Arial" w:eastAsia="Calibri" w:hAnsi="Arial" w:cs="Arial"/>
                <w:bCs/>
                <w:color w:val="000000" w:themeColor="text1"/>
                <w:lang w:val="en-GB" w:eastAsia="en-US"/>
              </w:rPr>
              <w:t xml:space="preserve">igh </w:t>
            </w:r>
            <w:r w:rsidR="00A33436">
              <w:rPr>
                <w:rFonts w:ascii="Arial" w:eastAsia="Calibri" w:hAnsi="Arial" w:cs="Arial"/>
                <w:bCs/>
                <w:color w:val="000000" w:themeColor="text1"/>
                <w:lang w:val="en-GB" w:eastAsia="en-US"/>
              </w:rPr>
              <w:t>N</w:t>
            </w:r>
            <w:r w:rsidR="00112575">
              <w:rPr>
                <w:rFonts w:ascii="Arial" w:eastAsia="Calibri" w:hAnsi="Arial" w:cs="Arial"/>
                <w:bCs/>
                <w:color w:val="000000" w:themeColor="text1"/>
                <w:lang w:val="en-GB" w:eastAsia="en-US"/>
              </w:rPr>
              <w:t xml:space="preserve">itrate </w:t>
            </w:r>
            <w:r w:rsidR="00A33436">
              <w:rPr>
                <w:rFonts w:ascii="Arial" w:eastAsia="Calibri" w:hAnsi="Arial" w:cs="Arial"/>
                <w:bCs/>
                <w:color w:val="000000" w:themeColor="text1"/>
                <w:lang w:val="en-GB" w:eastAsia="en-US"/>
              </w:rPr>
              <w:t>N</w:t>
            </w:r>
            <w:r w:rsidRPr="00BC5FC9">
              <w:rPr>
                <w:rFonts w:ascii="Arial" w:eastAsia="Calibri" w:hAnsi="Arial" w:cs="Arial"/>
                <w:bCs/>
                <w:color w:val="000000" w:themeColor="text1"/>
                <w:lang w:val="en-GB" w:eastAsia="en-US"/>
              </w:rPr>
              <w:t xml:space="preserve">utritional </w:t>
            </w:r>
            <w:r w:rsidR="00A33436">
              <w:rPr>
                <w:rFonts w:ascii="Arial" w:eastAsia="Calibri" w:hAnsi="Arial" w:cs="Arial"/>
                <w:bCs/>
                <w:color w:val="000000" w:themeColor="text1"/>
                <w:lang w:val="en-GB" w:eastAsia="en-US"/>
              </w:rPr>
              <w:t>I</w:t>
            </w:r>
            <w:r w:rsidRPr="00BC5FC9">
              <w:rPr>
                <w:rFonts w:ascii="Arial" w:eastAsia="Calibri" w:hAnsi="Arial" w:cs="Arial"/>
                <w:bCs/>
                <w:color w:val="000000" w:themeColor="text1"/>
                <w:lang w:val="en-GB" w:eastAsia="en-US"/>
              </w:rPr>
              <w:t xml:space="preserve">ntervention </w:t>
            </w:r>
            <w:r w:rsidR="00112575">
              <w:rPr>
                <w:rFonts w:ascii="Arial" w:eastAsia="Calibri" w:hAnsi="Arial" w:cs="Arial"/>
                <w:bCs/>
                <w:color w:val="000000" w:themeColor="text1"/>
                <w:lang w:val="en-GB" w:eastAsia="en-US"/>
              </w:rPr>
              <w:t xml:space="preserve">among Malaysian </w:t>
            </w:r>
            <w:r w:rsidR="00A33436">
              <w:rPr>
                <w:rFonts w:ascii="Arial" w:eastAsia="Calibri" w:hAnsi="Arial" w:cs="Arial"/>
                <w:bCs/>
                <w:color w:val="000000" w:themeColor="text1"/>
                <w:lang w:val="en-GB" w:eastAsia="en-US"/>
              </w:rPr>
              <w:t>O</w:t>
            </w:r>
            <w:r w:rsidR="00112575">
              <w:rPr>
                <w:rFonts w:ascii="Arial" w:eastAsia="Calibri" w:hAnsi="Arial" w:cs="Arial"/>
                <w:bCs/>
                <w:color w:val="000000" w:themeColor="text1"/>
                <w:lang w:val="en-GB" w:eastAsia="en-US"/>
              </w:rPr>
              <w:t xml:space="preserve">lder </w:t>
            </w:r>
            <w:r w:rsidR="00A33436">
              <w:rPr>
                <w:rFonts w:ascii="Arial" w:eastAsia="Calibri" w:hAnsi="Arial" w:cs="Arial"/>
                <w:bCs/>
                <w:color w:val="000000" w:themeColor="text1"/>
                <w:lang w:val="en-GB" w:eastAsia="en-US"/>
              </w:rPr>
              <w:t>P</w:t>
            </w:r>
            <w:r w:rsidR="00112575">
              <w:rPr>
                <w:rFonts w:ascii="Arial" w:eastAsia="Calibri" w:hAnsi="Arial" w:cs="Arial"/>
                <w:bCs/>
                <w:color w:val="000000" w:themeColor="text1"/>
                <w:lang w:val="en-GB" w:eastAsia="en-US"/>
              </w:rPr>
              <w:t xml:space="preserve">eople with </w:t>
            </w:r>
            <w:r w:rsidR="00A33436">
              <w:rPr>
                <w:rFonts w:ascii="Arial" w:eastAsia="Calibri" w:hAnsi="Arial" w:cs="Arial"/>
                <w:bCs/>
                <w:color w:val="000000" w:themeColor="text1"/>
                <w:lang w:val="en-GB" w:eastAsia="en-US"/>
              </w:rPr>
              <w:t>E</w:t>
            </w:r>
            <w:r w:rsidR="00112575">
              <w:rPr>
                <w:rFonts w:ascii="Arial" w:eastAsia="Calibri" w:hAnsi="Arial" w:cs="Arial"/>
                <w:bCs/>
                <w:color w:val="000000" w:themeColor="text1"/>
                <w:lang w:val="en-GB" w:eastAsia="en-US"/>
              </w:rPr>
              <w:t xml:space="preserve">levated </w:t>
            </w:r>
            <w:r w:rsidR="00A33436">
              <w:rPr>
                <w:rFonts w:ascii="Arial" w:eastAsia="Calibri" w:hAnsi="Arial" w:cs="Arial"/>
                <w:bCs/>
                <w:color w:val="000000" w:themeColor="text1"/>
                <w:lang w:val="en-GB" w:eastAsia="en-US"/>
              </w:rPr>
              <w:t>B</w:t>
            </w:r>
            <w:r w:rsidR="00112575">
              <w:rPr>
                <w:rFonts w:ascii="Arial" w:eastAsia="Calibri" w:hAnsi="Arial" w:cs="Arial"/>
                <w:bCs/>
                <w:color w:val="000000" w:themeColor="text1"/>
                <w:lang w:val="en-GB" w:eastAsia="en-US"/>
              </w:rPr>
              <w:t xml:space="preserve">lood </w:t>
            </w:r>
            <w:r w:rsidR="00A33436">
              <w:rPr>
                <w:rFonts w:ascii="Arial" w:eastAsia="Calibri" w:hAnsi="Arial" w:cs="Arial"/>
                <w:bCs/>
                <w:color w:val="000000" w:themeColor="text1"/>
                <w:lang w:val="en-GB" w:eastAsia="en-US"/>
              </w:rPr>
              <w:t>P</w:t>
            </w:r>
            <w:r w:rsidR="00112575">
              <w:rPr>
                <w:rFonts w:ascii="Arial" w:eastAsia="Calibri" w:hAnsi="Arial" w:cs="Arial"/>
                <w:bCs/>
                <w:color w:val="000000" w:themeColor="text1"/>
                <w:lang w:val="en-GB" w:eastAsia="en-US"/>
              </w:rPr>
              <w:t xml:space="preserve">ressure: A </w:t>
            </w:r>
            <w:r w:rsidR="00A33436">
              <w:rPr>
                <w:rFonts w:ascii="Arial" w:eastAsia="Calibri" w:hAnsi="Arial" w:cs="Arial"/>
                <w:bCs/>
                <w:color w:val="000000" w:themeColor="text1"/>
                <w:lang w:val="en-GB" w:eastAsia="en-US"/>
              </w:rPr>
              <w:t>Q</w:t>
            </w:r>
            <w:r w:rsidR="00112575">
              <w:rPr>
                <w:rFonts w:ascii="Arial" w:eastAsia="Calibri" w:hAnsi="Arial" w:cs="Arial"/>
                <w:bCs/>
                <w:color w:val="000000" w:themeColor="text1"/>
                <w:lang w:val="en-GB" w:eastAsia="en-US"/>
              </w:rPr>
              <w:t xml:space="preserve">ualitative </w:t>
            </w:r>
            <w:r w:rsidR="00A33436">
              <w:rPr>
                <w:rFonts w:ascii="Arial" w:eastAsia="Calibri" w:hAnsi="Arial" w:cs="Arial"/>
                <w:bCs/>
                <w:color w:val="000000" w:themeColor="text1"/>
                <w:lang w:val="en-GB" w:eastAsia="en-US"/>
              </w:rPr>
              <w:t>A</w:t>
            </w:r>
            <w:r w:rsidR="00870AB0">
              <w:rPr>
                <w:rFonts w:ascii="Arial" w:eastAsia="Calibri" w:hAnsi="Arial" w:cs="Arial"/>
                <w:bCs/>
                <w:color w:val="000000" w:themeColor="text1"/>
                <w:lang w:val="en-GB" w:eastAsia="en-US"/>
              </w:rPr>
              <w:t>pproach</w:t>
            </w:r>
          </w:p>
        </w:tc>
      </w:tr>
      <w:tr w:rsidR="00BC5FC9" w:rsidRPr="00BC5FC9" w14:paraId="7DCED353" w14:textId="77777777" w:rsidTr="00842381">
        <w:tc>
          <w:tcPr>
            <w:tcW w:w="1525" w:type="dxa"/>
          </w:tcPr>
          <w:p w14:paraId="11A241E0" w14:textId="77777777" w:rsidR="00BC5FC9" w:rsidRPr="00BC5FC9" w:rsidRDefault="00BC5FC9" w:rsidP="00BC5FC9">
            <w:pPr>
              <w:autoSpaceDE w:val="0"/>
              <w:autoSpaceDN w:val="0"/>
              <w:adjustRightInd w:val="0"/>
              <w:spacing w:line="360" w:lineRule="auto"/>
              <w:jc w:val="both"/>
              <w:rPr>
                <w:rFonts w:ascii="Arial" w:eastAsia="Calibri" w:hAnsi="Arial" w:cs="Arial"/>
                <w:bCs/>
                <w:color w:val="000000" w:themeColor="text1"/>
                <w:lang w:val="en-GB" w:eastAsia="en-US"/>
              </w:rPr>
            </w:pPr>
            <w:r w:rsidRPr="00BC5FC9">
              <w:rPr>
                <w:rFonts w:ascii="Arial" w:eastAsia="Calibri" w:hAnsi="Arial" w:cs="Arial"/>
                <w:bCs/>
                <w:color w:val="000000" w:themeColor="text1"/>
                <w:lang w:val="en-GB" w:eastAsia="en-US"/>
              </w:rPr>
              <w:t>NMRR ID</w:t>
            </w:r>
          </w:p>
        </w:tc>
        <w:tc>
          <w:tcPr>
            <w:tcW w:w="7491" w:type="dxa"/>
          </w:tcPr>
          <w:p w14:paraId="18C5F82F" w14:textId="77777777" w:rsidR="00BC5FC9" w:rsidRPr="00BC5FC9" w:rsidRDefault="00BC5FC9" w:rsidP="00BC5FC9">
            <w:pPr>
              <w:autoSpaceDE w:val="0"/>
              <w:autoSpaceDN w:val="0"/>
              <w:adjustRightInd w:val="0"/>
              <w:spacing w:line="360" w:lineRule="auto"/>
              <w:jc w:val="both"/>
              <w:rPr>
                <w:rFonts w:ascii="Arial" w:eastAsia="Calibri" w:hAnsi="Arial" w:cs="Arial"/>
                <w:bCs/>
                <w:color w:val="000000" w:themeColor="text1"/>
                <w:lang w:val="en-GB" w:eastAsia="en-US"/>
              </w:rPr>
            </w:pPr>
            <w:r w:rsidRPr="00BC5FC9">
              <w:rPr>
                <w:rFonts w:ascii="Arial" w:eastAsia="Calibri" w:hAnsi="Arial" w:cs="Arial"/>
                <w:bCs/>
                <w:color w:val="000000" w:themeColor="text1"/>
                <w:lang w:val="en-GB" w:eastAsia="en-US"/>
              </w:rPr>
              <w:t>NMRR-19-617-45916</w:t>
            </w:r>
          </w:p>
        </w:tc>
      </w:tr>
      <w:tr w:rsidR="00BC5FC9" w:rsidRPr="00BC5FC9" w14:paraId="473DFB82" w14:textId="77777777" w:rsidTr="00842381">
        <w:tc>
          <w:tcPr>
            <w:tcW w:w="1525" w:type="dxa"/>
          </w:tcPr>
          <w:p w14:paraId="028E1676" w14:textId="77777777" w:rsidR="00BC5FC9" w:rsidRPr="00BC5FC9" w:rsidRDefault="00BC5FC9" w:rsidP="00BC5FC9">
            <w:pPr>
              <w:autoSpaceDE w:val="0"/>
              <w:autoSpaceDN w:val="0"/>
              <w:adjustRightInd w:val="0"/>
              <w:spacing w:line="360" w:lineRule="auto"/>
              <w:jc w:val="both"/>
              <w:rPr>
                <w:rFonts w:ascii="Arial" w:eastAsia="Calibri" w:hAnsi="Arial" w:cs="Arial"/>
                <w:bCs/>
                <w:color w:val="000000" w:themeColor="text1"/>
                <w:lang w:val="en-GB" w:eastAsia="en-US"/>
              </w:rPr>
            </w:pPr>
            <w:r w:rsidRPr="00BC5FC9">
              <w:rPr>
                <w:rFonts w:ascii="Arial" w:eastAsia="Calibri" w:hAnsi="Arial" w:cs="Arial"/>
                <w:bCs/>
                <w:color w:val="000000" w:themeColor="text1"/>
                <w:lang w:val="en-GB" w:eastAsia="en-US"/>
              </w:rPr>
              <w:t>Authors</w:t>
            </w:r>
          </w:p>
        </w:tc>
        <w:tc>
          <w:tcPr>
            <w:tcW w:w="7491" w:type="dxa"/>
          </w:tcPr>
          <w:p w14:paraId="2000515C" w14:textId="62ADE487" w:rsidR="00BC5FC9" w:rsidRPr="00BC5FC9" w:rsidRDefault="00BC5FC9" w:rsidP="00BC5FC9">
            <w:pPr>
              <w:spacing w:line="360" w:lineRule="auto"/>
              <w:contextualSpacing/>
              <w:jc w:val="both"/>
              <w:rPr>
                <w:rFonts w:ascii="Arial" w:eastAsia="Calibri" w:hAnsi="Arial" w:cs="Arial"/>
                <w:bCs/>
                <w:color w:val="000000" w:themeColor="text1"/>
                <w:lang w:val="en-GB" w:eastAsia="en-US"/>
              </w:rPr>
            </w:pPr>
            <w:r w:rsidRPr="00BC5FC9">
              <w:rPr>
                <w:rFonts w:ascii="Arial" w:eastAsia="Calibri" w:hAnsi="Arial" w:cs="Arial"/>
                <w:bCs/>
                <w:u w:val="single"/>
                <w:shd w:val="clear" w:color="auto" w:fill="FFFFFF"/>
                <w:lang w:val="en-GB" w:eastAsia="en-US"/>
              </w:rPr>
              <w:t>Yee Chang Soh</w:t>
            </w:r>
            <w:r w:rsidRPr="00BC5FC9">
              <w:rPr>
                <w:rFonts w:ascii="Arial" w:eastAsia="Calibri" w:hAnsi="Arial" w:cs="Arial"/>
                <w:bCs/>
                <w:shd w:val="clear" w:color="auto" w:fill="FFFFFF"/>
                <w:vertAlign w:val="superscript"/>
                <w:lang w:val="en-GB" w:eastAsia="en-US"/>
              </w:rPr>
              <w:t>1,</w:t>
            </w:r>
            <w:r w:rsidR="00712F6E">
              <w:rPr>
                <w:rFonts w:ascii="Arial" w:eastAsia="Calibri" w:hAnsi="Arial" w:cs="Arial"/>
                <w:bCs/>
                <w:shd w:val="clear" w:color="auto" w:fill="FFFFFF"/>
                <w:vertAlign w:val="superscript"/>
                <w:lang w:val="en-GB" w:eastAsia="en-US"/>
              </w:rPr>
              <w:t>2</w:t>
            </w:r>
            <w:r w:rsidRPr="00BC5FC9">
              <w:rPr>
                <w:rFonts w:ascii="Arial" w:eastAsia="Calibri" w:hAnsi="Arial" w:cs="Arial"/>
                <w:bCs/>
                <w:shd w:val="clear" w:color="auto" w:fill="FFFFFF"/>
                <w:lang w:val="en-GB" w:eastAsia="en-US"/>
              </w:rPr>
              <w:t>,</w:t>
            </w:r>
            <w:r w:rsidRPr="00BC5FC9">
              <w:rPr>
                <w:rFonts w:ascii="Arial" w:eastAsia="Calibri" w:hAnsi="Arial" w:cs="Arial"/>
                <w:lang w:val="en-GB" w:eastAsia="en-US"/>
              </w:rPr>
              <w:t xml:space="preserve"> </w:t>
            </w:r>
            <w:r w:rsidR="00712F6E" w:rsidRPr="00BC5FC9">
              <w:rPr>
                <w:rFonts w:ascii="Arial" w:eastAsia="Calibri" w:hAnsi="Arial" w:cs="Arial"/>
                <w:bCs/>
                <w:shd w:val="clear" w:color="auto" w:fill="FFFFFF"/>
                <w:lang w:val="en-GB" w:eastAsia="en-US"/>
              </w:rPr>
              <w:t>Devi Mohan</w:t>
            </w:r>
            <w:r w:rsidR="00712F6E" w:rsidRPr="00BC5FC9">
              <w:rPr>
                <w:rFonts w:ascii="Arial" w:eastAsia="Calibri" w:hAnsi="Arial" w:cs="Arial"/>
                <w:bCs/>
                <w:shd w:val="clear" w:color="auto" w:fill="FFFFFF"/>
                <w:vertAlign w:val="superscript"/>
                <w:lang w:val="en-GB" w:eastAsia="en-US"/>
              </w:rPr>
              <w:t>1</w:t>
            </w:r>
            <w:r w:rsidR="00712F6E" w:rsidRPr="00BC5FC9">
              <w:rPr>
                <w:rFonts w:ascii="Arial" w:eastAsia="Calibri" w:hAnsi="Arial" w:cs="Arial"/>
                <w:vertAlign w:val="superscript"/>
                <w:lang w:val="en-GB" w:eastAsia="en-US"/>
              </w:rPr>
              <w:t>*</w:t>
            </w:r>
            <w:r w:rsidR="00712F6E">
              <w:rPr>
                <w:rFonts w:ascii="Arial" w:eastAsia="Calibri" w:hAnsi="Arial" w:cs="Arial"/>
                <w:lang w:val="en-GB" w:eastAsia="en-US"/>
              </w:rPr>
              <w:t xml:space="preserve">, </w:t>
            </w:r>
            <w:r w:rsidRPr="00BC5FC9">
              <w:rPr>
                <w:rFonts w:ascii="Arial" w:eastAsia="Calibri" w:hAnsi="Arial" w:cs="Arial"/>
                <w:lang w:val="en-GB" w:eastAsia="en-US"/>
              </w:rPr>
              <w:t>S</w:t>
            </w:r>
            <w:r w:rsidRPr="00BC5FC9">
              <w:rPr>
                <w:rFonts w:ascii="Arial" w:eastAsia="Calibri" w:hAnsi="Arial" w:cs="Arial"/>
                <w:bCs/>
                <w:shd w:val="clear" w:color="auto" w:fill="FFFFFF"/>
                <w:lang w:val="en-GB" w:eastAsia="en-US"/>
              </w:rPr>
              <w:t>iew Siew Lee</w:t>
            </w:r>
            <w:r w:rsidR="00712F6E" w:rsidRPr="00BC5FC9">
              <w:rPr>
                <w:rFonts w:ascii="Arial" w:eastAsia="Calibri" w:hAnsi="Arial" w:cs="Arial"/>
                <w:bCs/>
                <w:shd w:val="clear" w:color="auto" w:fill="FFFFFF"/>
                <w:vertAlign w:val="superscript"/>
                <w:lang w:val="en-GB" w:eastAsia="en-US"/>
              </w:rPr>
              <w:t>1</w:t>
            </w:r>
            <w:r w:rsidRPr="00BC5FC9">
              <w:rPr>
                <w:rFonts w:ascii="Arial" w:eastAsia="Calibri" w:hAnsi="Arial" w:cs="Arial"/>
                <w:bCs/>
                <w:shd w:val="clear" w:color="auto" w:fill="FFFFFF"/>
                <w:lang w:val="en-GB" w:eastAsia="en-US"/>
              </w:rPr>
              <w:t>,</w:t>
            </w:r>
            <w:r w:rsidRPr="00BC5FC9">
              <w:rPr>
                <w:rFonts w:ascii="Arial" w:eastAsia="Calibri" w:hAnsi="Arial" w:cs="Arial"/>
                <w:lang w:val="en-GB" w:eastAsia="en-US"/>
              </w:rPr>
              <w:t xml:space="preserve"> </w:t>
            </w:r>
            <w:r w:rsidRPr="00BC5FC9">
              <w:rPr>
                <w:rFonts w:ascii="Arial" w:eastAsia="Calibri" w:hAnsi="Arial" w:cs="Arial"/>
                <w:bCs/>
                <w:shd w:val="clear" w:color="auto" w:fill="FFFFFF"/>
                <w:lang w:val="en-GB" w:eastAsia="en-US"/>
              </w:rPr>
              <w:t>Andrea McGrattan</w:t>
            </w:r>
            <w:r w:rsidR="00712F6E">
              <w:rPr>
                <w:rFonts w:ascii="Arial" w:eastAsia="Calibri" w:hAnsi="Arial" w:cs="Arial"/>
                <w:bCs/>
                <w:shd w:val="clear" w:color="auto" w:fill="FFFFFF"/>
                <w:vertAlign w:val="superscript"/>
                <w:lang w:val="en-GB" w:eastAsia="en-US"/>
              </w:rPr>
              <w:t>3</w:t>
            </w:r>
            <w:r w:rsidRPr="00BC5FC9">
              <w:rPr>
                <w:rFonts w:ascii="Arial" w:eastAsia="Calibri" w:hAnsi="Arial" w:cs="Arial"/>
                <w:bCs/>
                <w:shd w:val="clear" w:color="auto" w:fill="FFFFFF"/>
                <w:lang w:val="en-GB" w:eastAsia="en-US"/>
              </w:rPr>
              <w:t>,</w:t>
            </w:r>
            <w:r w:rsidRPr="00BC5FC9">
              <w:rPr>
                <w:rFonts w:ascii="Arial" w:eastAsia="Calibri" w:hAnsi="Arial" w:cs="Arial"/>
                <w:bCs/>
                <w:shd w:val="clear" w:color="auto" w:fill="FFFFFF"/>
                <w:vertAlign w:val="superscript"/>
                <w:lang w:val="en-GB" w:eastAsia="en-US"/>
              </w:rPr>
              <w:t xml:space="preserve"> </w:t>
            </w:r>
            <w:r w:rsidR="0097269A">
              <w:rPr>
                <w:rFonts w:ascii="Arial" w:eastAsia="Calibri" w:hAnsi="Arial" w:cs="Arial"/>
                <w:lang w:val="en-GB" w:eastAsia="en-US"/>
              </w:rPr>
              <w:t>Mawada Alawad</w:t>
            </w:r>
            <w:r w:rsidR="0097269A" w:rsidRPr="00BC5FC9">
              <w:rPr>
                <w:rFonts w:ascii="Arial" w:eastAsia="Calibri" w:hAnsi="Arial" w:cs="Arial"/>
                <w:bCs/>
                <w:shd w:val="clear" w:color="auto" w:fill="FFFFFF"/>
                <w:vertAlign w:val="superscript"/>
                <w:lang w:val="en-GB" w:eastAsia="en-US"/>
              </w:rPr>
              <w:t>1,</w:t>
            </w:r>
            <w:r w:rsidR="0097269A">
              <w:rPr>
                <w:rFonts w:ascii="Arial" w:eastAsia="Calibri" w:hAnsi="Arial" w:cs="Arial"/>
                <w:bCs/>
                <w:shd w:val="clear" w:color="auto" w:fill="FFFFFF"/>
                <w:vertAlign w:val="superscript"/>
                <w:lang w:val="en-GB" w:eastAsia="en-US"/>
              </w:rPr>
              <w:t>2</w:t>
            </w:r>
            <w:r w:rsidR="0097269A" w:rsidRPr="0097269A">
              <w:rPr>
                <w:rFonts w:ascii="Arial" w:eastAsia="Calibri" w:hAnsi="Arial" w:cs="Arial"/>
                <w:bCs/>
                <w:shd w:val="clear" w:color="auto" w:fill="FFFFFF"/>
                <w:lang w:val="en-GB" w:eastAsia="en-US"/>
              </w:rPr>
              <w:t>,</w:t>
            </w:r>
            <w:r w:rsidR="0097269A">
              <w:rPr>
                <w:rFonts w:ascii="Arial" w:eastAsia="Calibri" w:hAnsi="Arial" w:cs="Arial"/>
                <w:bCs/>
                <w:shd w:val="clear" w:color="auto" w:fill="FFFFFF"/>
                <w:vertAlign w:val="superscript"/>
                <w:lang w:val="en-GB" w:eastAsia="en-US"/>
              </w:rPr>
              <w:t xml:space="preserve"> </w:t>
            </w:r>
            <w:r w:rsidRPr="00BC5FC9">
              <w:rPr>
                <w:rFonts w:ascii="Arial" w:eastAsia="Calibri" w:hAnsi="Arial" w:cs="Arial"/>
                <w:bCs/>
                <w:shd w:val="clear" w:color="auto" w:fill="FFFFFF"/>
                <w:lang w:val="en-GB" w:eastAsia="en-US"/>
              </w:rPr>
              <w:t>Shajahan Yasin</w:t>
            </w:r>
            <w:r w:rsidR="00712F6E">
              <w:rPr>
                <w:rFonts w:ascii="Arial" w:eastAsia="Calibri" w:hAnsi="Arial" w:cs="Arial"/>
                <w:bCs/>
                <w:shd w:val="clear" w:color="auto" w:fill="FFFFFF"/>
                <w:vertAlign w:val="superscript"/>
                <w:lang w:val="en-GB" w:eastAsia="en-US"/>
              </w:rPr>
              <w:t>4</w:t>
            </w:r>
            <w:r w:rsidRPr="00BC5FC9">
              <w:rPr>
                <w:rFonts w:ascii="Arial" w:eastAsia="Calibri" w:hAnsi="Arial" w:cs="Arial"/>
                <w:bCs/>
                <w:shd w:val="clear" w:color="auto" w:fill="FFFFFF"/>
                <w:lang w:val="en-GB" w:eastAsia="en-US"/>
              </w:rPr>
              <w:t>,</w:t>
            </w:r>
            <w:r w:rsidR="00112575">
              <w:rPr>
                <w:rFonts w:ascii="Arial" w:eastAsia="Calibri" w:hAnsi="Arial" w:cs="Arial"/>
                <w:bCs/>
                <w:shd w:val="clear" w:color="auto" w:fill="FFFFFF"/>
                <w:lang w:val="en-GB" w:eastAsia="en-US"/>
              </w:rPr>
              <w:t xml:space="preserve"> Tin Tin Su</w:t>
            </w:r>
            <w:r w:rsidR="00AE7AEF" w:rsidRPr="00BC5FC9">
              <w:rPr>
                <w:rFonts w:ascii="Arial" w:eastAsia="Calibri" w:hAnsi="Arial" w:cs="Arial"/>
                <w:bCs/>
                <w:shd w:val="clear" w:color="auto" w:fill="FFFFFF"/>
                <w:vertAlign w:val="superscript"/>
                <w:lang w:val="en-GB" w:eastAsia="en-US"/>
              </w:rPr>
              <w:t>1,</w:t>
            </w:r>
            <w:r w:rsidR="00AE7AEF">
              <w:rPr>
                <w:rFonts w:ascii="Arial" w:eastAsia="Calibri" w:hAnsi="Arial" w:cs="Arial"/>
                <w:bCs/>
                <w:shd w:val="clear" w:color="auto" w:fill="FFFFFF"/>
                <w:vertAlign w:val="superscript"/>
                <w:lang w:val="en-GB" w:eastAsia="en-US"/>
              </w:rPr>
              <w:t>2</w:t>
            </w:r>
            <w:r w:rsidR="00112575">
              <w:rPr>
                <w:rFonts w:ascii="Arial" w:eastAsia="Calibri" w:hAnsi="Arial" w:cs="Arial"/>
                <w:bCs/>
                <w:shd w:val="clear" w:color="auto" w:fill="FFFFFF"/>
                <w:lang w:val="en-GB" w:eastAsia="en-US"/>
              </w:rPr>
              <w:t>,</w:t>
            </w:r>
            <w:r w:rsidRPr="00BC5FC9">
              <w:rPr>
                <w:rFonts w:ascii="Arial" w:eastAsia="Calibri" w:hAnsi="Arial" w:cs="Arial"/>
                <w:bCs/>
                <w:shd w:val="clear" w:color="auto" w:fill="FFFFFF"/>
                <w:vertAlign w:val="superscript"/>
                <w:lang w:val="en-GB" w:eastAsia="en-US"/>
              </w:rPr>
              <w:t xml:space="preserve"> </w:t>
            </w:r>
            <w:r w:rsidRPr="00BC5FC9">
              <w:rPr>
                <w:rFonts w:ascii="Arial" w:eastAsia="Calibri" w:hAnsi="Arial" w:cs="Arial"/>
                <w:bCs/>
                <w:shd w:val="clear" w:color="auto" w:fill="FFFFFF"/>
                <w:lang w:val="en-GB" w:eastAsia="en-US"/>
              </w:rPr>
              <w:t>Daniel Reidpath</w:t>
            </w:r>
            <w:r w:rsidRPr="00BC5FC9">
              <w:rPr>
                <w:rFonts w:ascii="Arial" w:eastAsia="Calibri" w:hAnsi="Arial" w:cs="Arial"/>
                <w:bCs/>
                <w:shd w:val="clear" w:color="auto" w:fill="FFFFFF"/>
                <w:vertAlign w:val="superscript"/>
                <w:lang w:val="en-GB" w:eastAsia="en-US"/>
              </w:rPr>
              <w:t>1,5</w:t>
            </w:r>
            <w:r w:rsidRPr="00BC5FC9">
              <w:rPr>
                <w:rFonts w:ascii="Arial" w:eastAsia="Calibri" w:hAnsi="Arial" w:cs="Arial"/>
                <w:bCs/>
                <w:shd w:val="clear" w:color="auto" w:fill="FFFFFF"/>
                <w:lang w:val="en-GB" w:eastAsia="en-US"/>
              </w:rPr>
              <w:t xml:space="preserve">, </w:t>
            </w:r>
            <w:r w:rsidR="00112575">
              <w:rPr>
                <w:rFonts w:ascii="Arial" w:eastAsia="Calibri" w:hAnsi="Arial" w:cs="Arial"/>
                <w:bCs/>
                <w:shd w:val="clear" w:color="auto" w:fill="FFFFFF"/>
                <w:lang w:val="en-GB" w:eastAsia="en-US"/>
              </w:rPr>
              <w:t>Louise Robinson</w:t>
            </w:r>
            <w:r w:rsidR="002209A5">
              <w:rPr>
                <w:rFonts w:ascii="Arial" w:eastAsia="Calibri" w:hAnsi="Arial" w:cs="Arial"/>
                <w:bCs/>
                <w:shd w:val="clear" w:color="auto" w:fill="FFFFFF"/>
                <w:vertAlign w:val="superscript"/>
                <w:lang w:val="en-GB" w:eastAsia="en-US"/>
              </w:rPr>
              <w:t>6</w:t>
            </w:r>
            <w:r w:rsidR="00112575">
              <w:rPr>
                <w:rFonts w:ascii="Arial" w:eastAsia="Calibri" w:hAnsi="Arial" w:cs="Arial"/>
                <w:bCs/>
                <w:shd w:val="clear" w:color="auto" w:fill="FFFFFF"/>
                <w:lang w:val="en-GB" w:eastAsia="en-US"/>
              </w:rPr>
              <w:t xml:space="preserve">, </w:t>
            </w:r>
            <w:r w:rsidRPr="00BC5FC9">
              <w:rPr>
                <w:rFonts w:ascii="Arial" w:eastAsia="Calibri" w:hAnsi="Arial" w:cs="Arial"/>
                <w:bCs/>
                <w:shd w:val="clear" w:color="auto" w:fill="FFFFFF"/>
                <w:lang w:val="en-GB" w:eastAsia="en-US"/>
              </w:rPr>
              <w:t xml:space="preserve">Mario </w:t>
            </w:r>
            <w:r w:rsidR="002209A5" w:rsidRPr="00BC5FC9">
              <w:rPr>
                <w:rFonts w:ascii="Arial" w:eastAsia="Calibri" w:hAnsi="Arial" w:cs="Arial"/>
                <w:bCs/>
                <w:shd w:val="clear" w:color="auto" w:fill="FFFFFF"/>
                <w:lang w:val="en-GB" w:eastAsia="en-US"/>
              </w:rPr>
              <w:t>Siervo</w:t>
            </w:r>
            <w:r w:rsidR="002209A5">
              <w:rPr>
                <w:rFonts w:ascii="Arial" w:eastAsia="Calibri" w:hAnsi="Arial" w:cs="Arial"/>
                <w:bCs/>
                <w:shd w:val="clear" w:color="auto" w:fill="FFFFFF"/>
                <w:vertAlign w:val="superscript"/>
                <w:lang w:val="en-GB" w:eastAsia="en-US"/>
              </w:rPr>
              <w:t>7</w:t>
            </w:r>
          </w:p>
        </w:tc>
      </w:tr>
      <w:tr w:rsidR="00BC5FC9" w:rsidRPr="00BC5FC9" w14:paraId="76F0FA0C" w14:textId="77777777" w:rsidTr="00842381">
        <w:tc>
          <w:tcPr>
            <w:tcW w:w="1525" w:type="dxa"/>
          </w:tcPr>
          <w:p w14:paraId="2FE686D7" w14:textId="77777777" w:rsidR="00BC5FC9" w:rsidRPr="00BC5FC9" w:rsidRDefault="00BC5FC9" w:rsidP="00BC5FC9">
            <w:pPr>
              <w:autoSpaceDE w:val="0"/>
              <w:autoSpaceDN w:val="0"/>
              <w:adjustRightInd w:val="0"/>
              <w:spacing w:line="360" w:lineRule="auto"/>
              <w:jc w:val="both"/>
              <w:rPr>
                <w:rFonts w:ascii="Arial" w:eastAsia="Calibri" w:hAnsi="Arial" w:cs="Arial"/>
                <w:bCs/>
                <w:color w:val="000000" w:themeColor="text1"/>
                <w:lang w:val="en-GB" w:eastAsia="en-US"/>
              </w:rPr>
            </w:pPr>
            <w:r w:rsidRPr="00BC5FC9">
              <w:rPr>
                <w:rFonts w:ascii="Arial" w:eastAsia="Calibri" w:hAnsi="Arial" w:cs="Arial"/>
                <w:bCs/>
                <w:color w:val="000000" w:themeColor="text1"/>
                <w:lang w:val="en-GB" w:eastAsia="en-US"/>
              </w:rPr>
              <w:t>Affiliations</w:t>
            </w:r>
          </w:p>
        </w:tc>
        <w:tc>
          <w:tcPr>
            <w:tcW w:w="7491" w:type="dxa"/>
          </w:tcPr>
          <w:p w14:paraId="39CFAD10" w14:textId="5F538FB9" w:rsidR="00BC5FC9" w:rsidRPr="00BC5FC9" w:rsidRDefault="00BC5FC9" w:rsidP="00BC5FC9">
            <w:pPr>
              <w:numPr>
                <w:ilvl w:val="0"/>
                <w:numId w:val="1"/>
              </w:numPr>
              <w:spacing w:line="360" w:lineRule="auto"/>
              <w:contextualSpacing/>
              <w:jc w:val="both"/>
              <w:rPr>
                <w:rFonts w:ascii="Arial" w:eastAsia="Calibri" w:hAnsi="Arial" w:cs="Arial"/>
                <w:bCs/>
                <w:shd w:val="clear" w:color="auto" w:fill="FFFFFF"/>
                <w:lang w:val="en-GB" w:eastAsia="en-US"/>
              </w:rPr>
            </w:pPr>
            <w:r w:rsidRPr="00BC5FC9">
              <w:rPr>
                <w:rFonts w:ascii="Arial" w:eastAsia="Calibri" w:hAnsi="Arial" w:cs="Arial"/>
                <w:bCs/>
                <w:shd w:val="clear" w:color="auto" w:fill="FFFFFF"/>
                <w:lang w:val="en-GB" w:eastAsia="en-US"/>
              </w:rPr>
              <w:t>Global Public Health, Jeffrey Cheah School of Medicine and Health Sciences, Monash University</w:t>
            </w:r>
            <w:r w:rsidR="00A33436">
              <w:rPr>
                <w:rFonts w:ascii="Arial" w:eastAsia="Calibri" w:hAnsi="Arial" w:cs="Arial"/>
                <w:bCs/>
                <w:shd w:val="clear" w:color="auto" w:fill="FFFFFF"/>
                <w:lang w:val="en-GB" w:eastAsia="en-US"/>
              </w:rPr>
              <w:t xml:space="preserve"> Malaysia</w:t>
            </w:r>
            <w:r w:rsidRPr="00BC5FC9">
              <w:rPr>
                <w:rFonts w:ascii="Arial" w:eastAsia="Calibri" w:hAnsi="Arial" w:cs="Arial"/>
                <w:bCs/>
                <w:shd w:val="clear" w:color="auto" w:fill="FFFFFF"/>
                <w:lang w:val="en-GB" w:eastAsia="en-US"/>
              </w:rPr>
              <w:t>, Malaysia</w:t>
            </w:r>
          </w:p>
          <w:p w14:paraId="2D57A8C0" w14:textId="52CC6CDB" w:rsidR="00A33436" w:rsidRDefault="00712F6E" w:rsidP="00712F6E">
            <w:pPr>
              <w:numPr>
                <w:ilvl w:val="0"/>
                <w:numId w:val="1"/>
              </w:numPr>
              <w:spacing w:line="360" w:lineRule="auto"/>
              <w:contextualSpacing/>
              <w:jc w:val="both"/>
              <w:rPr>
                <w:rFonts w:ascii="Arial" w:eastAsia="Calibri" w:hAnsi="Arial" w:cs="Arial"/>
                <w:bCs/>
                <w:shd w:val="clear" w:color="auto" w:fill="FFFFFF"/>
                <w:lang w:val="en-GB" w:eastAsia="en-US"/>
              </w:rPr>
            </w:pPr>
            <w:r w:rsidRPr="00BC5FC9">
              <w:rPr>
                <w:rFonts w:ascii="Arial" w:eastAsia="Calibri" w:hAnsi="Arial" w:cs="Arial"/>
                <w:bCs/>
                <w:shd w:val="clear" w:color="auto" w:fill="FFFFFF"/>
                <w:lang w:val="en-GB" w:eastAsia="en-US"/>
              </w:rPr>
              <w:t xml:space="preserve">South East Asia Community Observatory, </w:t>
            </w:r>
            <w:r w:rsidR="00A33436" w:rsidRPr="00A33436">
              <w:rPr>
                <w:rFonts w:ascii="Arial" w:eastAsia="Calibri" w:hAnsi="Arial" w:cs="Arial"/>
                <w:bCs/>
                <w:shd w:val="clear" w:color="auto" w:fill="FFFFFF"/>
                <w:lang w:val="en-GB" w:eastAsia="en-US"/>
              </w:rPr>
              <w:t>Jeffrey Cheah School of Medicine and Health Sciences, Monash University Malaysia, Malaysia</w:t>
            </w:r>
            <w:r w:rsidR="00A33436" w:rsidRPr="00A33436" w:rsidDel="00A33436">
              <w:rPr>
                <w:rFonts w:ascii="Arial" w:eastAsia="Calibri" w:hAnsi="Arial" w:cs="Arial"/>
                <w:bCs/>
                <w:shd w:val="clear" w:color="auto" w:fill="FFFFFF"/>
                <w:lang w:val="en-GB" w:eastAsia="en-US"/>
              </w:rPr>
              <w:t xml:space="preserve"> </w:t>
            </w:r>
          </w:p>
          <w:p w14:paraId="5AE3C2E6" w14:textId="4F41E0BE" w:rsidR="00712F6E" w:rsidRPr="00BC5FC9" w:rsidRDefault="00712F6E" w:rsidP="00712F6E">
            <w:pPr>
              <w:numPr>
                <w:ilvl w:val="0"/>
                <w:numId w:val="1"/>
              </w:numPr>
              <w:spacing w:line="360" w:lineRule="auto"/>
              <w:contextualSpacing/>
              <w:jc w:val="both"/>
              <w:rPr>
                <w:rFonts w:ascii="Arial" w:eastAsia="Calibri" w:hAnsi="Arial" w:cs="Arial"/>
                <w:bCs/>
                <w:shd w:val="clear" w:color="auto" w:fill="FFFFFF"/>
                <w:lang w:val="en-GB" w:eastAsia="en-US"/>
              </w:rPr>
            </w:pPr>
            <w:r w:rsidRPr="00BC5FC9">
              <w:rPr>
                <w:rFonts w:ascii="Arial" w:eastAsia="Calibri" w:hAnsi="Arial" w:cs="Arial"/>
                <w:bCs/>
                <w:shd w:val="clear" w:color="auto" w:fill="FFFFFF"/>
                <w:lang w:val="en-GB" w:eastAsia="en-US"/>
              </w:rPr>
              <w:t>School of Biomedical, Nutritional and Sports Sciences, Newcastle University, UK</w:t>
            </w:r>
          </w:p>
          <w:p w14:paraId="0CFFBFFE" w14:textId="469C6B58" w:rsidR="00A33436" w:rsidRDefault="00A33436" w:rsidP="00BC5FC9">
            <w:pPr>
              <w:numPr>
                <w:ilvl w:val="0"/>
                <w:numId w:val="1"/>
              </w:numPr>
              <w:autoSpaceDE w:val="0"/>
              <w:autoSpaceDN w:val="0"/>
              <w:adjustRightInd w:val="0"/>
              <w:spacing w:line="360" w:lineRule="auto"/>
              <w:contextualSpacing/>
              <w:jc w:val="both"/>
              <w:rPr>
                <w:rFonts w:ascii="Arial" w:eastAsia="Calibri" w:hAnsi="Arial" w:cs="Arial"/>
                <w:bCs/>
                <w:lang w:val="en-GB" w:eastAsia="en-US"/>
              </w:rPr>
            </w:pPr>
            <w:r w:rsidRPr="00A33436">
              <w:rPr>
                <w:rFonts w:ascii="Arial" w:eastAsia="Calibri" w:hAnsi="Arial" w:cs="Arial"/>
                <w:bCs/>
                <w:shd w:val="clear" w:color="auto" w:fill="FFFFFF"/>
                <w:lang w:val="en-GB" w:eastAsia="en-US"/>
              </w:rPr>
              <w:t>Jeffrey Cheah School of Medicine and Health Sciences, Monash University Malaysia, Malaysia</w:t>
            </w:r>
            <w:r w:rsidRPr="00A33436" w:rsidDel="00A33436">
              <w:rPr>
                <w:rFonts w:ascii="Arial" w:eastAsia="Calibri" w:hAnsi="Arial" w:cs="Arial"/>
                <w:bCs/>
                <w:shd w:val="clear" w:color="auto" w:fill="FFFFFF"/>
                <w:lang w:val="en-GB" w:eastAsia="en-US"/>
              </w:rPr>
              <w:t xml:space="preserve"> </w:t>
            </w:r>
          </w:p>
          <w:p w14:paraId="0A19403B" w14:textId="55D2A48E" w:rsidR="00BC5FC9" w:rsidRDefault="00BC5FC9" w:rsidP="00BC5FC9">
            <w:pPr>
              <w:numPr>
                <w:ilvl w:val="0"/>
                <w:numId w:val="1"/>
              </w:numPr>
              <w:autoSpaceDE w:val="0"/>
              <w:autoSpaceDN w:val="0"/>
              <w:adjustRightInd w:val="0"/>
              <w:spacing w:line="360" w:lineRule="auto"/>
              <w:contextualSpacing/>
              <w:jc w:val="both"/>
              <w:rPr>
                <w:rFonts w:ascii="Arial" w:eastAsia="Calibri" w:hAnsi="Arial" w:cs="Arial"/>
                <w:bCs/>
                <w:lang w:val="en-GB" w:eastAsia="en-US"/>
              </w:rPr>
            </w:pPr>
            <w:r w:rsidRPr="00BC5FC9">
              <w:rPr>
                <w:rFonts w:ascii="Arial" w:eastAsia="Calibri" w:hAnsi="Arial" w:cs="Arial"/>
                <w:bCs/>
                <w:lang w:val="en-GB" w:eastAsia="en-US"/>
              </w:rPr>
              <w:t>International Centre for Diarrhoeal Disease Research, Bangladesh/ ICDDR, B</w:t>
            </w:r>
          </w:p>
          <w:p w14:paraId="42210033" w14:textId="1EEE3555" w:rsidR="002209A5" w:rsidRPr="00BC5FC9" w:rsidRDefault="002209A5" w:rsidP="00BC5FC9">
            <w:pPr>
              <w:numPr>
                <w:ilvl w:val="0"/>
                <w:numId w:val="1"/>
              </w:numPr>
              <w:autoSpaceDE w:val="0"/>
              <w:autoSpaceDN w:val="0"/>
              <w:adjustRightInd w:val="0"/>
              <w:spacing w:line="360" w:lineRule="auto"/>
              <w:contextualSpacing/>
              <w:jc w:val="both"/>
              <w:rPr>
                <w:rFonts w:ascii="Arial" w:eastAsia="Calibri" w:hAnsi="Arial" w:cs="Arial"/>
                <w:bCs/>
                <w:lang w:val="en-GB" w:eastAsia="en-US"/>
              </w:rPr>
            </w:pPr>
            <w:r w:rsidRPr="002209A5">
              <w:rPr>
                <w:rFonts w:ascii="Arial" w:eastAsia="Calibri" w:hAnsi="Arial" w:cs="Arial"/>
                <w:bCs/>
                <w:lang w:val="en-GB" w:eastAsia="en-US"/>
              </w:rPr>
              <w:t>Population Health Sciences Institute, Newcastle University, Newcastle upon Tyne, UK</w:t>
            </w:r>
          </w:p>
          <w:p w14:paraId="2E8C6FF4" w14:textId="77777777" w:rsidR="00BC5FC9" w:rsidRPr="00712F6E" w:rsidRDefault="00BC5FC9" w:rsidP="00BC5FC9">
            <w:pPr>
              <w:numPr>
                <w:ilvl w:val="0"/>
                <w:numId w:val="1"/>
              </w:numPr>
              <w:autoSpaceDE w:val="0"/>
              <w:autoSpaceDN w:val="0"/>
              <w:adjustRightInd w:val="0"/>
              <w:spacing w:line="360" w:lineRule="auto"/>
              <w:contextualSpacing/>
              <w:jc w:val="both"/>
              <w:rPr>
                <w:rFonts w:ascii="Arial" w:eastAsia="Calibri" w:hAnsi="Arial" w:cs="Arial"/>
                <w:bCs/>
                <w:color w:val="000000" w:themeColor="text1"/>
                <w:lang w:val="en-GB" w:eastAsia="en-US"/>
              </w:rPr>
            </w:pPr>
            <w:r w:rsidRPr="00BC5FC9">
              <w:rPr>
                <w:rFonts w:ascii="Arial" w:eastAsia="Calibri" w:hAnsi="Arial" w:cs="Arial"/>
                <w:bCs/>
                <w:lang w:val="en-GB" w:eastAsia="en-US"/>
              </w:rPr>
              <w:t>School of Life Sciences, The University of Nottingham Medical School, Nottingham, UK</w:t>
            </w:r>
          </w:p>
          <w:p w14:paraId="05C1CD63" w14:textId="7676D218" w:rsidR="00712F6E" w:rsidRPr="00BC5FC9" w:rsidRDefault="00712F6E" w:rsidP="00712F6E">
            <w:pPr>
              <w:autoSpaceDE w:val="0"/>
              <w:autoSpaceDN w:val="0"/>
              <w:adjustRightInd w:val="0"/>
              <w:spacing w:line="360" w:lineRule="auto"/>
              <w:contextualSpacing/>
              <w:jc w:val="both"/>
              <w:rPr>
                <w:rFonts w:ascii="Arial" w:eastAsia="Calibri" w:hAnsi="Arial" w:cs="Arial"/>
                <w:bCs/>
                <w:color w:val="000000" w:themeColor="text1"/>
                <w:lang w:val="en-GB" w:eastAsia="en-US"/>
              </w:rPr>
            </w:pPr>
            <w:r>
              <w:rPr>
                <w:rFonts w:ascii="Arial" w:eastAsia="Calibri" w:hAnsi="Arial" w:cs="Arial"/>
                <w:bCs/>
                <w:color w:val="000000" w:themeColor="text1"/>
                <w:lang w:val="en-GB" w:eastAsia="en-US"/>
              </w:rPr>
              <w:t>*Corresponding author</w:t>
            </w:r>
          </w:p>
        </w:tc>
      </w:tr>
      <w:tr w:rsidR="00BC5FC9" w:rsidRPr="00BC5FC9" w14:paraId="509038D7" w14:textId="77777777" w:rsidTr="00842381">
        <w:tc>
          <w:tcPr>
            <w:tcW w:w="1525" w:type="dxa"/>
          </w:tcPr>
          <w:p w14:paraId="15B58936" w14:textId="77777777" w:rsidR="00BC5FC9" w:rsidRPr="00BC5FC9" w:rsidRDefault="00BC5FC9" w:rsidP="00BC5FC9">
            <w:pPr>
              <w:autoSpaceDE w:val="0"/>
              <w:autoSpaceDN w:val="0"/>
              <w:adjustRightInd w:val="0"/>
              <w:spacing w:line="360" w:lineRule="auto"/>
              <w:jc w:val="both"/>
              <w:rPr>
                <w:rFonts w:ascii="Arial" w:eastAsia="Calibri" w:hAnsi="Arial" w:cs="Arial"/>
                <w:bCs/>
                <w:color w:val="000000" w:themeColor="text1"/>
                <w:lang w:val="en-GB" w:eastAsia="en-US"/>
              </w:rPr>
            </w:pPr>
            <w:r w:rsidRPr="00BC5FC9">
              <w:rPr>
                <w:rFonts w:ascii="Arial" w:eastAsia="Calibri" w:hAnsi="Arial" w:cs="Arial"/>
                <w:bCs/>
                <w:color w:val="000000" w:themeColor="text1"/>
                <w:lang w:val="en-GB" w:eastAsia="en-US"/>
              </w:rPr>
              <w:t>Keyword/ MESH term</w:t>
            </w:r>
          </w:p>
        </w:tc>
        <w:tc>
          <w:tcPr>
            <w:tcW w:w="7491" w:type="dxa"/>
          </w:tcPr>
          <w:p w14:paraId="705D90FD" w14:textId="5996984A" w:rsidR="00712F6E" w:rsidRPr="00BC5FC9" w:rsidRDefault="00712F6E" w:rsidP="00BC5FC9">
            <w:pPr>
              <w:autoSpaceDE w:val="0"/>
              <w:autoSpaceDN w:val="0"/>
              <w:adjustRightInd w:val="0"/>
              <w:spacing w:line="360" w:lineRule="auto"/>
              <w:jc w:val="both"/>
              <w:rPr>
                <w:rFonts w:ascii="Arial" w:eastAsia="Calibri" w:hAnsi="Arial" w:cs="Arial"/>
                <w:bCs/>
                <w:color w:val="000000" w:themeColor="text1"/>
                <w:lang w:val="en-GB" w:eastAsia="en-US"/>
              </w:rPr>
            </w:pPr>
            <w:r>
              <w:rPr>
                <w:rFonts w:ascii="Arial" w:eastAsia="Calibri" w:hAnsi="Arial" w:cs="Arial"/>
                <w:bCs/>
                <w:color w:val="000000" w:themeColor="text1"/>
                <w:lang w:val="en-GB" w:eastAsia="en-US"/>
              </w:rPr>
              <w:t xml:space="preserve">Low Salt, </w:t>
            </w:r>
            <w:r w:rsidR="00CA4FB0">
              <w:rPr>
                <w:rFonts w:ascii="Arial" w:eastAsia="Calibri" w:hAnsi="Arial" w:cs="Arial"/>
                <w:bCs/>
                <w:color w:val="000000" w:themeColor="text1"/>
                <w:lang w:val="en-GB" w:eastAsia="en-US"/>
              </w:rPr>
              <w:t xml:space="preserve">High Nitrate, Nutritional Intervention, Elevated Blood Pressure, </w:t>
            </w:r>
            <w:r>
              <w:rPr>
                <w:rFonts w:ascii="Arial" w:eastAsia="Calibri" w:hAnsi="Arial" w:cs="Arial"/>
                <w:bCs/>
                <w:color w:val="000000" w:themeColor="text1"/>
                <w:lang w:val="en-GB" w:eastAsia="en-US"/>
              </w:rPr>
              <w:t>Qualitative Research</w:t>
            </w:r>
          </w:p>
        </w:tc>
      </w:tr>
    </w:tbl>
    <w:p w14:paraId="47E15E8E" w14:textId="77777777" w:rsidR="00BC5FC9" w:rsidRPr="00BC5FC9" w:rsidRDefault="00BC5FC9" w:rsidP="00BC5FC9">
      <w:pPr>
        <w:autoSpaceDE w:val="0"/>
        <w:autoSpaceDN w:val="0"/>
        <w:adjustRightInd w:val="0"/>
        <w:spacing w:after="0" w:line="360" w:lineRule="auto"/>
        <w:jc w:val="both"/>
        <w:rPr>
          <w:rFonts w:ascii="Times New Roman" w:eastAsia="Calibri" w:hAnsi="Times New Roman" w:cs="Times New Roman"/>
          <w:b/>
          <w:color w:val="0070C0"/>
          <w:sz w:val="24"/>
          <w:szCs w:val="24"/>
          <w:lang w:eastAsia="en-US"/>
        </w:rPr>
      </w:pPr>
    </w:p>
    <w:tbl>
      <w:tblPr>
        <w:tblStyle w:val="TableGrid"/>
        <w:tblW w:w="0" w:type="auto"/>
        <w:tblLook w:val="04A0" w:firstRow="1" w:lastRow="0" w:firstColumn="1" w:lastColumn="0" w:noHBand="0" w:noVBand="1"/>
      </w:tblPr>
      <w:tblGrid>
        <w:gridCol w:w="1525"/>
        <w:gridCol w:w="7491"/>
      </w:tblGrid>
      <w:tr w:rsidR="00BC5FC9" w:rsidRPr="00BC5FC9" w14:paraId="3C55D29B" w14:textId="77777777" w:rsidTr="00842381">
        <w:tc>
          <w:tcPr>
            <w:tcW w:w="1525" w:type="dxa"/>
          </w:tcPr>
          <w:p w14:paraId="2BF54E3F" w14:textId="77777777" w:rsidR="00BC5FC9" w:rsidRPr="00BC5FC9" w:rsidRDefault="00BC5FC9" w:rsidP="00BC5FC9">
            <w:pPr>
              <w:autoSpaceDE w:val="0"/>
              <w:autoSpaceDN w:val="0"/>
              <w:adjustRightInd w:val="0"/>
              <w:spacing w:line="360" w:lineRule="auto"/>
              <w:jc w:val="both"/>
              <w:rPr>
                <w:rFonts w:ascii="Arial" w:eastAsia="Calibri" w:hAnsi="Arial" w:cs="Arial"/>
                <w:bCs/>
                <w:color w:val="0070C0"/>
                <w:lang w:val="en-GB" w:eastAsia="en-US"/>
              </w:rPr>
            </w:pPr>
            <w:r w:rsidRPr="00BC5FC9">
              <w:rPr>
                <w:rFonts w:ascii="Arial" w:eastAsia="Calibri" w:hAnsi="Arial" w:cs="Arial"/>
                <w:bCs/>
                <w:color w:val="000000" w:themeColor="text1"/>
                <w:lang w:val="en-GB" w:eastAsia="en-US"/>
              </w:rPr>
              <w:t>Abstract</w:t>
            </w:r>
          </w:p>
        </w:tc>
        <w:tc>
          <w:tcPr>
            <w:tcW w:w="7491" w:type="dxa"/>
          </w:tcPr>
          <w:p w14:paraId="7CC7867F" w14:textId="77777777" w:rsidR="00BC5FC9" w:rsidRPr="00BC5FC9" w:rsidRDefault="00BC5FC9" w:rsidP="00BC5FC9">
            <w:pPr>
              <w:autoSpaceDE w:val="0"/>
              <w:autoSpaceDN w:val="0"/>
              <w:adjustRightInd w:val="0"/>
              <w:spacing w:line="360" w:lineRule="auto"/>
              <w:jc w:val="both"/>
              <w:rPr>
                <w:rFonts w:ascii="Arial" w:eastAsia="Calibri" w:hAnsi="Arial" w:cs="Arial"/>
                <w:b/>
                <w:color w:val="000000" w:themeColor="text1"/>
                <w:lang w:val="en-GB" w:eastAsia="en-US"/>
              </w:rPr>
            </w:pPr>
            <w:r w:rsidRPr="00BC5FC9">
              <w:rPr>
                <w:rFonts w:ascii="Arial" w:eastAsia="Calibri" w:hAnsi="Arial" w:cs="Arial"/>
                <w:b/>
                <w:color w:val="000000" w:themeColor="text1"/>
                <w:lang w:val="en-GB" w:eastAsia="en-US"/>
              </w:rPr>
              <w:t>INTRODUCTION:</w:t>
            </w:r>
          </w:p>
          <w:p w14:paraId="0631F289" w14:textId="444F326A" w:rsidR="00712F6E" w:rsidRPr="00712F6E" w:rsidRDefault="00712F6E" w:rsidP="00712F6E">
            <w:pPr>
              <w:autoSpaceDE w:val="0"/>
              <w:autoSpaceDN w:val="0"/>
              <w:adjustRightInd w:val="0"/>
              <w:spacing w:line="360" w:lineRule="auto"/>
              <w:jc w:val="both"/>
              <w:rPr>
                <w:rFonts w:ascii="Arial" w:eastAsia="Calibri" w:hAnsi="Arial" w:cs="Arial"/>
                <w:bCs/>
                <w:color w:val="000000" w:themeColor="text1"/>
                <w:lang w:val="en-GB" w:eastAsia="en-US"/>
              </w:rPr>
            </w:pPr>
            <w:r w:rsidRPr="00712F6E">
              <w:rPr>
                <w:rFonts w:ascii="Arial" w:eastAsia="Calibri" w:hAnsi="Arial" w:cs="Arial"/>
                <w:bCs/>
                <w:color w:val="000000" w:themeColor="text1"/>
                <w:lang w:val="en-GB" w:eastAsia="en-US"/>
              </w:rPr>
              <w:t xml:space="preserve">Recent studies have demonstrated </w:t>
            </w:r>
            <w:r w:rsidR="00A33436">
              <w:rPr>
                <w:rFonts w:ascii="Arial" w:eastAsia="Calibri" w:hAnsi="Arial" w:cs="Arial"/>
                <w:bCs/>
                <w:color w:val="000000" w:themeColor="text1"/>
                <w:lang w:val="en-GB" w:eastAsia="en-US"/>
              </w:rPr>
              <w:t xml:space="preserve">that </w:t>
            </w:r>
            <w:r w:rsidR="00A33436" w:rsidRPr="00712F6E">
              <w:rPr>
                <w:rFonts w:ascii="Arial" w:eastAsia="Calibri" w:hAnsi="Arial" w:cs="Arial"/>
                <w:bCs/>
                <w:color w:val="000000" w:themeColor="text1"/>
                <w:lang w:val="en-GB" w:eastAsia="en-US"/>
              </w:rPr>
              <w:t>reduced</w:t>
            </w:r>
            <w:r w:rsidR="008D676E">
              <w:rPr>
                <w:rFonts w:ascii="Arial" w:eastAsia="Calibri" w:hAnsi="Arial" w:cs="Arial"/>
                <w:bCs/>
                <w:color w:val="000000" w:themeColor="text1"/>
                <w:lang w:val="en-GB" w:eastAsia="en-US"/>
              </w:rPr>
              <w:t xml:space="preserve"> </w:t>
            </w:r>
            <w:r w:rsidRPr="00712F6E">
              <w:rPr>
                <w:rFonts w:ascii="Arial" w:eastAsia="Calibri" w:hAnsi="Arial" w:cs="Arial"/>
                <w:bCs/>
                <w:color w:val="000000" w:themeColor="text1"/>
                <w:lang w:val="en-GB" w:eastAsia="en-US"/>
              </w:rPr>
              <w:t xml:space="preserve">salt </w:t>
            </w:r>
            <w:r w:rsidR="008D676E">
              <w:rPr>
                <w:rFonts w:ascii="Arial" w:eastAsia="Calibri" w:hAnsi="Arial" w:cs="Arial"/>
                <w:bCs/>
                <w:color w:val="000000" w:themeColor="text1"/>
                <w:lang w:val="en-GB" w:eastAsia="en-US"/>
              </w:rPr>
              <w:t xml:space="preserve">intake </w:t>
            </w:r>
            <w:r w:rsidRPr="00712F6E">
              <w:rPr>
                <w:rFonts w:ascii="Arial" w:eastAsia="Calibri" w:hAnsi="Arial" w:cs="Arial"/>
                <w:bCs/>
                <w:color w:val="000000" w:themeColor="text1"/>
                <w:lang w:val="en-GB" w:eastAsia="en-US"/>
              </w:rPr>
              <w:t>and increased nitrate-rich vegetable</w:t>
            </w:r>
            <w:r w:rsidR="00CA0AE3">
              <w:rPr>
                <w:rFonts w:ascii="Arial" w:eastAsia="Calibri" w:hAnsi="Arial" w:cs="Arial"/>
                <w:bCs/>
                <w:color w:val="000000" w:themeColor="text1"/>
                <w:lang w:val="en-GB" w:eastAsia="en-US"/>
              </w:rPr>
              <w:t>s</w:t>
            </w:r>
            <w:r w:rsidRPr="00712F6E">
              <w:rPr>
                <w:rFonts w:ascii="Arial" w:eastAsia="Calibri" w:hAnsi="Arial" w:cs="Arial"/>
                <w:bCs/>
                <w:color w:val="000000" w:themeColor="text1"/>
                <w:lang w:val="en-GB" w:eastAsia="en-US"/>
              </w:rPr>
              <w:t xml:space="preserve"> </w:t>
            </w:r>
            <w:r w:rsidR="008D676E">
              <w:rPr>
                <w:rFonts w:ascii="Arial" w:eastAsia="Calibri" w:hAnsi="Arial" w:cs="Arial"/>
                <w:bCs/>
                <w:color w:val="000000" w:themeColor="text1"/>
                <w:lang w:val="en-GB" w:eastAsia="en-US"/>
              </w:rPr>
              <w:t xml:space="preserve">consumption were associated </w:t>
            </w:r>
            <w:r w:rsidRPr="00712F6E">
              <w:rPr>
                <w:rFonts w:ascii="Arial" w:eastAsia="Calibri" w:hAnsi="Arial" w:cs="Arial"/>
                <w:bCs/>
                <w:color w:val="000000" w:themeColor="text1"/>
                <w:lang w:val="en-GB" w:eastAsia="en-US"/>
              </w:rPr>
              <w:t xml:space="preserve">with improved blood pressure and cognitive function. However, little </w:t>
            </w:r>
            <w:r w:rsidR="00325384">
              <w:rPr>
                <w:rFonts w:ascii="Arial" w:eastAsia="Calibri" w:hAnsi="Arial" w:cs="Arial"/>
                <w:bCs/>
                <w:color w:val="000000" w:themeColor="text1"/>
                <w:lang w:val="en-GB" w:eastAsia="en-US"/>
              </w:rPr>
              <w:t xml:space="preserve">is known </w:t>
            </w:r>
            <w:r w:rsidRPr="00712F6E">
              <w:rPr>
                <w:rFonts w:ascii="Arial" w:eastAsia="Calibri" w:hAnsi="Arial" w:cs="Arial"/>
                <w:bCs/>
                <w:color w:val="000000" w:themeColor="text1"/>
                <w:lang w:val="en-GB" w:eastAsia="en-US"/>
              </w:rPr>
              <w:t>about factors</w:t>
            </w:r>
            <w:r w:rsidR="006B2841">
              <w:rPr>
                <w:rFonts w:ascii="Arial" w:eastAsia="Calibri" w:hAnsi="Arial" w:cs="Arial"/>
                <w:bCs/>
                <w:color w:val="000000" w:themeColor="text1"/>
                <w:lang w:val="en-GB" w:eastAsia="en-US"/>
              </w:rPr>
              <w:t xml:space="preserve"> that</w:t>
            </w:r>
            <w:r w:rsidRPr="00712F6E">
              <w:rPr>
                <w:rFonts w:ascii="Arial" w:eastAsia="Calibri" w:hAnsi="Arial" w:cs="Arial"/>
                <w:bCs/>
                <w:color w:val="000000" w:themeColor="text1"/>
                <w:lang w:val="en-GB" w:eastAsia="en-US"/>
              </w:rPr>
              <w:t xml:space="preserve"> </w:t>
            </w:r>
            <w:r w:rsidR="00870AB0">
              <w:rPr>
                <w:rFonts w:ascii="Arial" w:eastAsia="Calibri" w:hAnsi="Arial" w:cs="Arial"/>
                <w:bCs/>
                <w:color w:val="000000" w:themeColor="text1"/>
                <w:lang w:val="en-GB" w:eastAsia="en-US"/>
              </w:rPr>
              <w:t>influenc</w:t>
            </w:r>
            <w:r w:rsidR="00B56311">
              <w:rPr>
                <w:rFonts w:ascii="Arial" w:eastAsia="Calibri" w:hAnsi="Arial" w:cs="Arial"/>
                <w:bCs/>
                <w:color w:val="000000" w:themeColor="text1"/>
                <w:lang w:val="en-GB" w:eastAsia="en-US"/>
              </w:rPr>
              <w:t xml:space="preserve">e </w:t>
            </w:r>
            <w:r w:rsidR="00053CDF">
              <w:rPr>
                <w:rFonts w:ascii="Arial" w:eastAsia="Calibri" w:hAnsi="Arial" w:cs="Arial"/>
                <w:bCs/>
                <w:color w:val="000000" w:themeColor="text1"/>
                <w:lang w:val="en-GB" w:eastAsia="en-US"/>
              </w:rPr>
              <w:t>adherence to</w:t>
            </w:r>
            <w:r w:rsidR="00B56311">
              <w:rPr>
                <w:rFonts w:ascii="Arial" w:eastAsia="Calibri" w:hAnsi="Arial" w:cs="Arial"/>
                <w:bCs/>
                <w:color w:val="000000" w:themeColor="text1"/>
                <w:lang w:val="en-GB" w:eastAsia="en-US"/>
              </w:rPr>
              <w:t xml:space="preserve"> th</w:t>
            </w:r>
            <w:r w:rsidR="00325384">
              <w:rPr>
                <w:rFonts w:ascii="Arial" w:eastAsia="Calibri" w:hAnsi="Arial" w:cs="Arial"/>
                <w:bCs/>
                <w:color w:val="000000" w:themeColor="text1"/>
                <w:lang w:val="en-GB" w:eastAsia="en-US"/>
              </w:rPr>
              <w:t>is</w:t>
            </w:r>
            <w:r w:rsidRPr="00712F6E">
              <w:rPr>
                <w:rFonts w:ascii="Arial" w:eastAsia="Calibri" w:hAnsi="Arial" w:cs="Arial"/>
                <w:bCs/>
                <w:color w:val="000000" w:themeColor="text1"/>
                <w:lang w:val="en-GB" w:eastAsia="en-US"/>
              </w:rPr>
              <w:t xml:space="preserve"> </w:t>
            </w:r>
            <w:r w:rsidR="00325384">
              <w:rPr>
                <w:rFonts w:ascii="Arial" w:eastAsia="Calibri" w:hAnsi="Arial" w:cs="Arial"/>
                <w:bCs/>
                <w:color w:val="000000" w:themeColor="text1"/>
                <w:lang w:val="en-GB" w:eastAsia="en-US"/>
              </w:rPr>
              <w:t xml:space="preserve">nutritional intervention </w:t>
            </w:r>
            <w:r w:rsidR="00CA4FB0">
              <w:rPr>
                <w:rFonts w:ascii="Arial" w:eastAsia="Calibri" w:hAnsi="Arial" w:cs="Arial"/>
                <w:bCs/>
                <w:color w:val="000000" w:themeColor="text1"/>
                <w:lang w:val="en-GB" w:eastAsia="en-US"/>
              </w:rPr>
              <w:t xml:space="preserve">in </w:t>
            </w:r>
            <w:r w:rsidR="00B56311">
              <w:rPr>
                <w:rFonts w:ascii="Arial" w:eastAsia="Calibri" w:hAnsi="Arial" w:cs="Arial"/>
                <w:bCs/>
                <w:color w:val="000000" w:themeColor="text1"/>
                <w:lang w:val="en-GB" w:eastAsia="en-US"/>
              </w:rPr>
              <w:t>multi-ethnic countries like Malaysia.</w:t>
            </w:r>
          </w:p>
          <w:p w14:paraId="7A11E1E0" w14:textId="1645A0CD" w:rsidR="00CA4FB0" w:rsidRPr="00CA4FB0" w:rsidRDefault="00712F6E" w:rsidP="0097269A">
            <w:pPr>
              <w:autoSpaceDE w:val="0"/>
              <w:autoSpaceDN w:val="0"/>
              <w:adjustRightInd w:val="0"/>
              <w:spacing w:line="360" w:lineRule="auto"/>
              <w:jc w:val="both"/>
              <w:rPr>
                <w:rFonts w:ascii="Arial" w:eastAsia="Calibri" w:hAnsi="Arial" w:cs="Arial"/>
                <w:bCs/>
                <w:color w:val="000000" w:themeColor="text1"/>
                <w:lang w:val="en-GB" w:eastAsia="en-US"/>
              </w:rPr>
            </w:pPr>
            <w:r w:rsidRPr="00712F6E">
              <w:rPr>
                <w:rFonts w:ascii="Arial" w:eastAsia="Calibri" w:hAnsi="Arial" w:cs="Arial"/>
                <w:bCs/>
                <w:color w:val="000000" w:themeColor="text1"/>
                <w:lang w:val="en-GB" w:eastAsia="en-US"/>
              </w:rPr>
              <w:t xml:space="preserve">This qualitative study aimed to </w:t>
            </w:r>
            <w:r w:rsidR="003C14E4">
              <w:rPr>
                <w:rFonts w:ascii="Arial" w:eastAsia="Calibri" w:hAnsi="Arial" w:cs="Arial"/>
                <w:bCs/>
                <w:color w:val="000000" w:themeColor="text1"/>
                <w:lang w:val="en-GB" w:eastAsia="en-US"/>
              </w:rPr>
              <w:t xml:space="preserve">explore </w:t>
            </w:r>
            <w:r w:rsidRPr="00712F6E">
              <w:rPr>
                <w:rFonts w:ascii="Arial" w:eastAsia="Calibri" w:hAnsi="Arial" w:cs="Arial"/>
                <w:bCs/>
                <w:color w:val="000000" w:themeColor="text1"/>
                <w:lang w:val="en-GB" w:eastAsia="en-US"/>
              </w:rPr>
              <w:t>factors</w:t>
            </w:r>
            <w:r w:rsidR="003C14E4">
              <w:rPr>
                <w:rFonts w:ascii="Arial" w:eastAsia="Calibri" w:hAnsi="Arial" w:cs="Arial"/>
                <w:bCs/>
                <w:color w:val="000000" w:themeColor="text1"/>
                <w:lang w:val="en-GB" w:eastAsia="en-US"/>
              </w:rPr>
              <w:t xml:space="preserve"> </w:t>
            </w:r>
            <w:r w:rsidR="000817C3">
              <w:rPr>
                <w:rFonts w:ascii="Arial" w:eastAsia="Calibri" w:hAnsi="Arial" w:cs="Arial"/>
                <w:bCs/>
                <w:color w:val="000000" w:themeColor="text1"/>
                <w:lang w:val="en-GB" w:eastAsia="en-US"/>
              </w:rPr>
              <w:t xml:space="preserve">influencing </w:t>
            </w:r>
            <w:r w:rsidR="003C14E4">
              <w:rPr>
                <w:rFonts w:ascii="Arial" w:eastAsia="Calibri" w:hAnsi="Arial" w:cs="Arial"/>
                <w:bCs/>
                <w:color w:val="000000" w:themeColor="text1"/>
                <w:lang w:val="en-GB" w:eastAsia="en-US"/>
              </w:rPr>
              <w:t xml:space="preserve">the </w:t>
            </w:r>
            <w:r w:rsidR="00E336F8">
              <w:rPr>
                <w:rFonts w:ascii="Arial" w:eastAsia="Calibri" w:hAnsi="Arial" w:cs="Arial"/>
                <w:bCs/>
                <w:color w:val="000000" w:themeColor="text1"/>
                <w:lang w:val="en-GB" w:eastAsia="en-US"/>
              </w:rPr>
              <w:t>adherence to</w:t>
            </w:r>
            <w:r w:rsidR="003C14E4">
              <w:rPr>
                <w:rFonts w:ascii="Arial" w:eastAsia="Calibri" w:hAnsi="Arial" w:cs="Arial"/>
                <w:bCs/>
                <w:color w:val="000000" w:themeColor="text1"/>
                <w:lang w:val="en-GB" w:eastAsia="en-US"/>
              </w:rPr>
              <w:t xml:space="preserve"> </w:t>
            </w:r>
            <w:r w:rsidR="00E01A21">
              <w:rPr>
                <w:rFonts w:ascii="Arial" w:eastAsia="Calibri" w:hAnsi="Arial" w:cs="Arial"/>
                <w:bCs/>
                <w:color w:val="000000" w:themeColor="text1"/>
                <w:lang w:val="en-GB" w:eastAsia="en-US"/>
              </w:rPr>
              <w:t xml:space="preserve">this nutritional </w:t>
            </w:r>
            <w:r w:rsidR="003C14E4">
              <w:rPr>
                <w:rFonts w:ascii="Arial" w:eastAsia="Calibri" w:hAnsi="Arial" w:cs="Arial"/>
                <w:bCs/>
                <w:color w:val="000000" w:themeColor="text1"/>
                <w:lang w:val="en-GB" w:eastAsia="en-US"/>
              </w:rPr>
              <w:t xml:space="preserve">intervention </w:t>
            </w:r>
            <w:r w:rsidR="00B56311">
              <w:rPr>
                <w:rFonts w:ascii="Arial" w:eastAsia="Calibri" w:hAnsi="Arial" w:cs="Arial"/>
                <w:bCs/>
                <w:color w:val="000000" w:themeColor="text1"/>
                <w:lang w:val="en-GB" w:eastAsia="en-US"/>
              </w:rPr>
              <w:t xml:space="preserve">among </w:t>
            </w:r>
            <w:r w:rsidR="00B56311" w:rsidRPr="00712F6E">
              <w:rPr>
                <w:rFonts w:ascii="Arial" w:eastAsia="Calibri" w:hAnsi="Arial" w:cs="Arial"/>
                <w:bCs/>
                <w:color w:val="000000" w:themeColor="text1"/>
                <w:lang w:val="en-GB" w:eastAsia="en-US"/>
              </w:rPr>
              <w:t xml:space="preserve">older adults </w:t>
            </w:r>
            <w:r w:rsidR="000817C3">
              <w:rPr>
                <w:rFonts w:ascii="Arial" w:eastAsia="Calibri" w:hAnsi="Arial" w:cs="Arial"/>
                <w:bCs/>
                <w:color w:val="000000" w:themeColor="text1"/>
                <w:lang w:val="en-GB" w:eastAsia="en-US"/>
              </w:rPr>
              <w:t xml:space="preserve">from </w:t>
            </w:r>
            <w:r w:rsidR="0097269A" w:rsidRPr="0097269A">
              <w:rPr>
                <w:rFonts w:ascii="Arial" w:eastAsia="Calibri" w:hAnsi="Arial" w:cs="Arial"/>
                <w:bCs/>
                <w:color w:val="000000" w:themeColor="text1"/>
                <w:lang w:val="en-GB" w:eastAsia="en-US"/>
              </w:rPr>
              <w:t xml:space="preserve">Dementia Prevention </w:t>
            </w:r>
            <w:r w:rsidR="0097269A" w:rsidRPr="0097269A">
              <w:rPr>
                <w:rFonts w:ascii="Arial" w:eastAsia="Calibri" w:hAnsi="Arial" w:cs="Arial"/>
                <w:bCs/>
                <w:color w:val="000000" w:themeColor="text1"/>
                <w:lang w:val="en-GB" w:eastAsia="en-US"/>
              </w:rPr>
              <w:lastRenderedPageBreak/>
              <w:t>and Enhanced</w:t>
            </w:r>
            <w:r w:rsidR="00BA4F97">
              <w:rPr>
                <w:rFonts w:ascii="Arial" w:eastAsia="Calibri" w:hAnsi="Arial" w:cs="Arial"/>
                <w:bCs/>
                <w:color w:val="000000" w:themeColor="text1"/>
                <w:lang w:val="en-GB" w:eastAsia="en-US"/>
              </w:rPr>
              <w:t xml:space="preserve"> </w:t>
            </w:r>
            <w:r w:rsidR="0097269A" w:rsidRPr="0097269A">
              <w:rPr>
                <w:rFonts w:ascii="Arial" w:eastAsia="Calibri" w:hAnsi="Arial" w:cs="Arial"/>
                <w:bCs/>
                <w:color w:val="000000" w:themeColor="text1"/>
                <w:lang w:val="en-GB" w:eastAsia="en-US"/>
              </w:rPr>
              <w:t>Care</w:t>
            </w:r>
            <w:r w:rsidR="00BA4F97">
              <w:rPr>
                <w:rFonts w:ascii="Arial" w:eastAsia="Calibri" w:hAnsi="Arial" w:cs="Arial"/>
                <w:bCs/>
                <w:color w:val="000000" w:themeColor="text1"/>
                <w:lang w:val="en-GB" w:eastAsia="en-US"/>
              </w:rPr>
              <w:t xml:space="preserve"> (</w:t>
            </w:r>
            <w:r w:rsidR="000817C3">
              <w:rPr>
                <w:rFonts w:ascii="Arial" w:eastAsia="Calibri" w:hAnsi="Arial" w:cs="Arial"/>
                <w:bCs/>
                <w:color w:val="000000" w:themeColor="text1"/>
                <w:lang w:val="en-GB" w:eastAsia="en-US"/>
              </w:rPr>
              <w:t>DePEC</w:t>
            </w:r>
            <w:r w:rsidR="00BA4F97">
              <w:rPr>
                <w:rFonts w:ascii="Arial" w:eastAsia="Calibri" w:hAnsi="Arial" w:cs="Arial"/>
                <w:bCs/>
                <w:color w:val="000000" w:themeColor="text1"/>
                <w:lang w:val="en-GB" w:eastAsia="en-US"/>
              </w:rPr>
              <w:t>)</w:t>
            </w:r>
            <w:r w:rsidR="000817C3">
              <w:rPr>
                <w:rFonts w:ascii="Arial" w:eastAsia="Calibri" w:hAnsi="Arial" w:cs="Arial"/>
                <w:bCs/>
                <w:color w:val="000000" w:themeColor="text1"/>
                <w:lang w:val="en-GB" w:eastAsia="en-US"/>
              </w:rPr>
              <w:t>-Nutrition study.</w:t>
            </w:r>
            <w:r w:rsidR="00CA4FB0">
              <w:rPr>
                <w:rFonts w:ascii="Arial" w:eastAsia="Calibri" w:hAnsi="Arial" w:cs="Arial"/>
                <w:bCs/>
                <w:color w:val="000000" w:themeColor="text1"/>
                <w:lang w:val="en-GB" w:eastAsia="en-US"/>
              </w:rPr>
              <w:t xml:space="preserve"> </w:t>
            </w:r>
            <w:r w:rsidR="00CA4FB0" w:rsidRPr="00CA4FB0">
              <w:rPr>
                <w:rFonts w:ascii="Arial" w:eastAsia="Calibri" w:hAnsi="Arial" w:cs="Arial"/>
                <w:bCs/>
                <w:color w:val="000000" w:themeColor="text1"/>
                <w:lang w:val="en-GB" w:eastAsia="en-US"/>
              </w:rPr>
              <w:t>DePEC-Nutrition</w:t>
            </w:r>
            <w:r w:rsidR="00CA4FB0">
              <w:rPr>
                <w:rFonts w:ascii="Arial" w:eastAsia="Calibri" w:hAnsi="Arial" w:cs="Arial"/>
                <w:bCs/>
                <w:color w:val="000000" w:themeColor="text1"/>
                <w:lang w:val="en-GB" w:eastAsia="en-US"/>
              </w:rPr>
              <w:t xml:space="preserve"> is a </w:t>
            </w:r>
            <w:r w:rsidR="00CA4FB0" w:rsidRPr="00CA4FB0">
              <w:rPr>
                <w:rFonts w:ascii="Arial" w:eastAsia="Calibri" w:hAnsi="Arial" w:cs="Arial"/>
                <w:bCs/>
                <w:color w:val="000000" w:themeColor="text1"/>
                <w:lang w:val="en-GB" w:eastAsia="en-US"/>
              </w:rPr>
              <w:t xml:space="preserve">randomised </w:t>
            </w:r>
            <w:r w:rsidR="00846BDB">
              <w:rPr>
                <w:rFonts w:ascii="Arial" w:eastAsia="Calibri" w:hAnsi="Arial" w:cs="Arial"/>
                <w:bCs/>
                <w:color w:val="000000" w:themeColor="text1"/>
                <w:lang w:val="en-GB" w:eastAsia="en-US"/>
              </w:rPr>
              <w:t xml:space="preserve">controlled </w:t>
            </w:r>
            <w:r w:rsidR="00CA4FB0" w:rsidRPr="00CA4FB0">
              <w:rPr>
                <w:rFonts w:ascii="Arial" w:eastAsia="Calibri" w:hAnsi="Arial" w:cs="Arial"/>
                <w:bCs/>
                <w:color w:val="000000" w:themeColor="text1"/>
                <w:lang w:val="en-GB" w:eastAsia="en-US"/>
              </w:rPr>
              <w:t xml:space="preserve">2×2 factorial </w:t>
            </w:r>
            <w:r w:rsidR="00CA4FB0">
              <w:rPr>
                <w:rFonts w:ascii="Arial" w:eastAsia="Calibri" w:hAnsi="Arial" w:cs="Arial"/>
                <w:bCs/>
                <w:color w:val="000000" w:themeColor="text1"/>
                <w:lang w:val="en-GB" w:eastAsia="en-US"/>
              </w:rPr>
              <w:t>trial</w:t>
            </w:r>
            <w:r w:rsidR="00CA4FB0" w:rsidRPr="00CA4FB0">
              <w:rPr>
                <w:rFonts w:ascii="Arial" w:eastAsia="Calibri" w:hAnsi="Arial" w:cs="Arial"/>
                <w:bCs/>
                <w:color w:val="000000" w:themeColor="text1"/>
                <w:lang w:val="en-GB" w:eastAsia="en-US"/>
              </w:rPr>
              <w:t xml:space="preserve"> </w:t>
            </w:r>
            <w:r w:rsidR="006B2841">
              <w:rPr>
                <w:rFonts w:ascii="Arial" w:eastAsia="Calibri" w:hAnsi="Arial" w:cs="Arial"/>
                <w:bCs/>
                <w:color w:val="000000" w:themeColor="text1"/>
                <w:lang w:val="en-GB" w:eastAsia="en-US"/>
              </w:rPr>
              <w:t>evaluating</w:t>
            </w:r>
            <w:r w:rsidR="00CA4FB0" w:rsidRPr="00CA4FB0">
              <w:rPr>
                <w:rFonts w:ascii="Arial" w:eastAsia="Calibri" w:hAnsi="Arial" w:cs="Arial"/>
                <w:bCs/>
                <w:color w:val="000000" w:themeColor="text1"/>
                <w:lang w:val="en-GB" w:eastAsia="en-US"/>
              </w:rPr>
              <w:t xml:space="preserve"> the </w:t>
            </w:r>
            <w:r w:rsidR="00C02FEC">
              <w:rPr>
                <w:rFonts w:ascii="Arial" w:eastAsia="Calibri" w:hAnsi="Arial" w:cs="Arial"/>
                <w:bCs/>
                <w:color w:val="000000" w:themeColor="text1"/>
                <w:lang w:val="en-GB" w:eastAsia="en-US"/>
              </w:rPr>
              <w:t xml:space="preserve">feasibility and </w:t>
            </w:r>
            <w:r w:rsidR="00CA4FB0" w:rsidRPr="00CA4FB0">
              <w:rPr>
                <w:rFonts w:ascii="Arial" w:eastAsia="Calibri" w:hAnsi="Arial" w:cs="Arial"/>
                <w:bCs/>
                <w:color w:val="000000" w:themeColor="text1"/>
                <w:lang w:val="en-GB" w:eastAsia="en-US"/>
              </w:rPr>
              <w:t xml:space="preserve">acceptability of </w:t>
            </w:r>
            <w:r w:rsidR="00E01A21">
              <w:rPr>
                <w:rFonts w:ascii="Arial" w:eastAsia="Calibri" w:hAnsi="Arial" w:cs="Arial"/>
                <w:bCs/>
                <w:color w:val="000000" w:themeColor="text1"/>
                <w:lang w:val="en-GB" w:eastAsia="en-US"/>
              </w:rPr>
              <w:t xml:space="preserve">low salt and high nitrate </w:t>
            </w:r>
            <w:r w:rsidR="00CA4FB0" w:rsidRPr="00CA4FB0">
              <w:rPr>
                <w:rFonts w:ascii="Arial" w:eastAsia="Calibri" w:hAnsi="Arial" w:cs="Arial"/>
                <w:bCs/>
                <w:color w:val="000000" w:themeColor="text1"/>
                <w:lang w:val="en-GB" w:eastAsia="en-US"/>
              </w:rPr>
              <w:t>intervention</w:t>
            </w:r>
            <w:r w:rsidR="00CA4FB0">
              <w:rPr>
                <w:rFonts w:ascii="Arial" w:eastAsia="Calibri" w:hAnsi="Arial" w:cs="Arial"/>
                <w:bCs/>
                <w:color w:val="000000" w:themeColor="text1"/>
                <w:lang w:val="en-GB" w:eastAsia="en-US"/>
              </w:rPr>
              <w:t xml:space="preserve"> </w:t>
            </w:r>
            <w:r w:rsidR="00C02FEC">
              <w:rPr>
                <w:rFonts w:ascii="Arial" w:eastAsia="Calibri" w:hAnsi="Arial" w:cs="Arial"/>
                <w:bCs/>
                <w:color w:val="000000" w:themeColor="text1"/>
                <w:lang w:val="en-GB" w:eastAsia="en-US"/>
              </w:rPr>
              <w:t xml:space="preserve">among </w:t>
            </w:r>
            <w:r w:rsidR="000817C3">
              <w:rPr>
                <w:rFonts w:ascii="Arial" w:eastAsia="Calibri" w:hAnsi="Arial" w:cs="Arial"/>
                <w:bCs/>
                <w:color w:val="000000" w:themeColor="text1"/>
                <w:lang w:val="en-GB" w:eastAsia="en-US"/>
              </w:rPr>
              <w:t>older adults with elevated blood pressure</w:t>
            </w:r>
            <w:r w:rsidR="00E01A21">
              <w:rPr>
                <w:rFonts w:ascii="Arial" w:eastAsia="Calibri" w:hAnsi="Arial" w:cs="Arial"/>
                <w:bCs/>
                <w:color w:val="000000" w:themeColor="text1"/>
                <w:lang w:val="en-GB" w:eastAsia="en-US"/>
              </w:rPr>
              <w:t xml:space="preserve">, </w:t>
            </w:r>
            <w:r w:rsidR="000817C3" w:rsidRPr="00712F6E">
              <w:rPr>
                <w:rFonts w:ascii="Arial" w:eastAsia="Calibri" w:hAnsi="Arial" w:cs="Arial"/>
                <w:bCs/>
                <w:color w:val="000000" w:themeColor="text1"/>
                <w:lang w:val="en-GB" w:eastAsia="en-US"/>
              </w:rPr>
              <w:t>living in suburban Segamat district in Johor, Malaysia</w:t>
            </w:r>
            <w:r w:rsidR="00A33436">
              <w:rPr>
                <w:rFonts w:ascii="Arial" w:eastAsia="Calibri" w:hAnsi="Arial" w:cs="Arial"/>
                <w:bCs/>
                <w:color w:val="000000" w:themeColor="text1"/>
                <w:lang w:val="en-GB" w:eastAsia="en-US"/>
              </w:rPr>
              <w:t xml:space="preserve">. </w:t>
            </w:r>
          </w:p>
          <w:p w14:paraId="2552E98D" w14:textId="77777777" w:rsidR="00BC5FC9" w:rsidRPr="00BC5FC9" w:rsidRDefault="00BC5FC9" w:rsidP="00BC5FC9">
            <w:pPr>
              <w:autoSpaceDE w:val="0"/>
              <w:autoSpaceDN w:val="0"/>
              <w:adjustRightInd w:val="0"/>
              <w:spacing w:line="360" w:lineRule="auto"/>
              <w:jc w:val="both"/>
              <w:rPr>
                <w:rFonts w:ascii="Arial" w:eastAsia="Calibri" w:hAnsi="Arial" w:cs="Arial"/>
                <w:b/>
                <w:color w:val="000000" w:themeColor="text1"/>
                <w:lang w:val="en-GB" w:eastAsia="en-US"/>
              </w:rPr>
            </w:pPr>
            <w:r w:rsidRPr="00BC5FC9">
              <w:rPr>
                <w:rFonts w:ascii="Arial" w:eastAsia="Calibri" w:hAnsi="Arial" w:cs="Arial"/>
                <w:b/>
                <w:color w:val="000000" w:themeColor="text1"/>
                <w:lang w:val="en-GB" w:eastAsia="en-US"/>
              </w:rPr>
              <w:t>METHODS:</w:t>
            </w:r>
          </w:p>
          <w:p w14:paraId="78D69FAF" w14:textId="7D2B3D23" w:rsidR="00BC5FC9" w:rsidRPr="00BC5FC9" w:rsidRDefault="00712F6E" w:rsidP="00BC5FC9">
            <w:pPr>
              <w:autoSpaceDE w:val="0"/>
              <w:autoSpaceDN w:val="0"/>
              <w:adjustRightInd w:val="0"/>
              <w:spacing w:line="360" w:lineRule="auto"/>
              <w:jc w:val="both"/>
              <w:rPr>
                <w:rFonts w:ascii="Arial" w:eastAsia="Calibri" w:hAnsi="Arial" w:cs="Arial"/>
                <w:bCs/>
                <w:color w:val="000000" w:themeColor="text1"/>
                <w:lang w:val="en-GB" w:eastAsia="en-US"/>
              </w:rPr>
            </w:pPr>
            <w:r w:rsidRPr="00712F6E">
              <w:rPr>
                <w:rFonts w:ascii="Arial" w:eastAsia="Calibri" w:hAnsi="Arial" w:cs="Arial"/>
                <w:bCs/>
                <w:color w:val="000000" w:themeColor="text1"/>
                <w:lang w:val="en-GB" w:eastAsia="en-US"/>
              </w:rPr>
              <w:t xml:space="preserve">We conducted individual semi-structured interviews with </w:t>
            </w:r>
            <w:r w:rsidR="00EB3545">
              <w:rPr>
                <w:rFonts w:ascii="Arial" w:eastAsia="Calibri" w:hAnsi="Arial" w:cs="Arial"/>
                <w:bCs/>
                <w:color w:val="000000" w:themeColor="text1"/>
                <w:lang w:val="en-GB" w:eastAsia="en-US"/>
              </w:rPr>
              <w:t xml:space="preserve">74 </w:t>
            </w:r>
            <w:r w:rsidR="00B56311" w:rsidRPr="00712F6E">
              <w:rPr>
                <w:rFonts w:ascii="Arial" w:eastAsia="Calibri" w:hAnsi="Arial" w:cs="Arial"/>
                <w:bCs/>
                <w:color w:val="000000" w:themeColor="text1"/>
                <w:lang w:val="en-GB" w:eastAsia="en-US"/>
              </w:rPr>
              <w:t>multi-ethnic</w:t>
            </w:r>
            <w:r w:rsidRPr="00712F6E">
              <w:rPr>
                <w:rFonts w:ascii="Arial" w:eastAsia="Calibri" w:hAnsi="Arial" w:cs="Arial"/>
                <w:bCs/>
                <w:color w:val="000000" w:themeColor="text1"/>
                <w:lang w:val="en-GB" w:eastAsia="en-US"/>
              </w:rPr>
              <w:t xml:space="preserve"> participants</w:t>
            </w:r>
            <w:r w:rsidR="00B56311">
              <w:rPr>
                <w:rFonts w:ascii="Arial" w:eastAsia="Calibri" w:hAnsi="Arial" w:cs="Arial"/>
                <w:bCs/>
                <w:color w:val="000000" w:themeColor="text1"/>
                <w:lang w:val="en-GB" w:eastAsia="en-US"/>
              </w:rPr>
              <w:t xml:space="preserve"> </w:t>
            </w:r>
            <w:r w:rsidR="006B2841">
              <w:rPr>
                <w:rFonts w:ascii="Arial" w:eastAsia="Calibri" w:hAnsi="Arial" w:cs="Arial"/>
                <w:bCs/>
                <w:color w:val="000000" w:themeColor="text1"/>
                <w:lang w:val="en-GB" w:eastAsia="en-US"/>
              </w:rPr>
              <w:t xml:space="preserve">from </w:t>
            </w:r>
            <w:r w:rsidR="00B56311">
              <w:rPr>
                <w:rFonts w:ascii="Arial" w:eastAsia="Calibri" w:hAnsi="Arial" w:cs="Arial"/>
                <w:bCs/>
                <w:color w:val="000000" w:themeColor="text1"/>
                <w:lang w:val="en-GB" w:eastAsia="en-US"/>
              </w:rPr>
              <w:t>the trial,</w:t>
            </w:r>
            <w:r w:rsidRPr="00712F6E">
              <w:rPr>
                <w:rFonts w:ascii="Arial" w:eastAsia="Calibri" w:hAnsi="Arial" w:cs="Arial"/>
                <w:bCs/>
                <w:color w:val="000000" w:themeColor="text1"/>
                <w:lang w:val="en-GB" w:eastAsia="en-US"/>
              </w:rPr>
              <w:t xml:space="preserve"> aged between 50 and 75 years</w:t>
            </w:r>
            <w:r w:rsidR="00846BDB">
              <w:rPr>
                <w:rFonts w:ascii="Arial" w:eastAsia="Calibri" w:hAnsi="Arial" w:cs="Arial"/>
                <w:bCs/>
                <w:color w:val="000000" w:themeColor="text1"/>
                <w:lang w:val="en-GB" w:eastAsia="en-US"/>
              </w:rPr>
              <w:t>,</w:t>
            </w:r>
            <w:r w:rsidR="00B56311">
              <w:rPr>
                <w:rFonts w:ascii="Arial" w:eastAsia="Calibri" w:hAnsi="Arial" w:cs="Arial"/>
                <w:bCs/>
                <w:color w:val="000000" w:themeColor="text1"/>
                <w:lang w:val="en-GB" w:eastAsia="en-US"/>
              </w:rPr>
              <w:t xml:space="preserve"> at the end of</w:t>
            </w:r>
            <w:r w:rsidR="006B2841">
              <w:rPr>
                <w:rFonts w:ascii="Arial" w:eastAsia="Calibri" w:hAnsi="Arial" w:cs="Arial"/>
                <w:bCs/>
                <w:color w:val="000000" w:themeColor="text1"/>
                <w:lang w:val="en-GB" w:eastAsia="en-US"/>
              </w:rPr>
              <w:t xml:space="preserve"> the</w:t>
            </w:r>
            <w:r w:rsidR="00B56311">
              <w:rPr>
                <w:rFonts w:ascii="Arial" w:eastAsia="Calibri" w:hAnsi="Arial" w:cs="Arial"/>
                <w:bCs/>
                <w:color w:val="000000" w:themeColor="text1"/>
                <w:lang w:val="en-GB" w:eastAsia="en-US"/>
              </w:rPr>
              <w:t xml:space="preserve"> </w:t>
            </w:r>
            <w:r w:rsidR="00EB3545">
              <w:rPr>
                <w:rFonts w:ascii="Arial" w:eastAsia="Calibri" w:hAnsi="Arial" w:cs="Arial"/>
                <w:bCs/>
                <w:color w:val="000000" w:themeColor="text1"/>
                <w:lang w:val="en-GB" w:eastAsia="en-US"/>
              </w:rPr>
              <w:t>10</w:t>
            </w:r>
            <w:r w:rsidR="00CA4FB0" w:rsidRPr="005753ED">
              <w:rPr>
                <w:rFonts w:ascii="Arial" w:eastAsia="Calibri" w:hAnsi="Arial" w:cs="Arial"/>
                <w:bCs/>
                <w:color w:val="000000" w:themeColor="text1"/>
                <w:lang w:val="en-GB" w:eastAsia="en-US"/>
              </w:rPr>
              <w:t xml:space="preserve">-month </w:t>
            </w:r>
            <w:r w:rsidR="00B56311" w:rsidRPr="005753ED">
              <w:rPr>
                <w:rFonts w:ascii="Arial" w:eastAsia="Calibri" w:hAnsi="Arial" w:cs="Arial"/>
                <w:bCs/>
                <w:color w:val="000000" w:themeColor="text1"/>
                <w:lang w:val="en-GB" w:eastAsia="en-US"/>
              </w:rPr>
              <w:t>intervention</w:t>
            </w:r>
            <w:r w:rsidR="00B56311">
              <w:rPr>
                <w:rFonts w:ascii="Arial" w:eastAsia="Calibri" w:hAnsi="Arial" w:cs="Arial"/>
                <w:bCs/>
                <w:color w:val="000000" w:themeColor="text1"/>
                <w:lang w:val="en-GB" w:eastAsia="en-US"/>
              </w:rPr>
              <w:t>.</w:t>
            </w:r>
            <w:r w:rsidRPr="00712F6E">
              <w:rPr>
                <w:rFonts w:ascii="Arial" w:eastAsia="Calibri" w:hAnsi="Arial" w:cs="Arial"/>
                <w:bCs/>
                <w:color w:val="000000" w:themeColor="text1"/>
                <w:lang w:val="en-GB" w:eastAsia="en-US"/>
              </w:rPr>
              <w:t xml:space="preserve"> All interviews </w:t>
            </w:r>
            <w:r w:rsidR="006B2841">
              <w:rPr>
                <w:rFonts w:ascii="Arial" w:eastAsia="Calibri" w:hAnsi="Arial" w:cs="Arial"/>
                <w:bCs/>
                <w:color w:val="000000" w:themeColor="text1"/>
                <w:lang w:val="en-GB" w:eastAsia="en-US"/>
              </w:rPr>
              <w:t>were in</w:t>
            </w:r>
            <w:r w:rsidR="006B2841" w:rsidRPr="00712F6E">
              <w:rPr>
                <w:rFonts w:ascii="Arial" w:eastAsia="Calibri" w:hAnsi="Arial" w:cs="Arial"/>
                <w:bCs/>
                <w:color w:val="000000" w:themeColor="text1"/>
                <w:lang w:val="en-GB" w:eastAsia="en-US"/>
              </w:rPr>
              <w:t xml:space="preserve"> </w:t>
            </w:r>
            <w:r w:rsidRPr="00712F6E">
              <w:rPr>
                <w:rFonts w:ascii="Arial" w:eastAsia="Calibri" w:hAnsi="Arial" w:cs="Arial"/>
                <w:bCs/>
                <w:color w:val="000000" w:themeColor="text1"/>
                <w:lang w:val="en-GB" w:eastAsia="en-US"/>
              </w:rPr>
              <w:t>native languages</w:t>
            </w:r>
            <w:r w:rsidR="006B2841">
              <w:rPr>
                <w:rFonts w:ascii="Arial" w:eastAsia="Calibri" w:hAnsi="Arial" w:cs="Arial"/>
                <w:bCs/>
                <w:color w:val="000000" w:themeColor="text1"/>
                <w:lang w:val="en-GB" w:eastAsia="en-US"/>
              </w:rPr>
              <w:t xml:space="preserve">, </w:t>
            </w:r>
            <w:r w:rsidRPr="00712F6E">
              <w:rPr>
                <w:rFonts w:ascii="Arial" w:eastAsia="Calibri" w:hAnsi="Arial" w:cs="Arial"/>
                <w:bCs/>
                <w:color w:val="000000" w:themeColor="text1"/>
                <w:lang w:val="en-GB" w:eastAsia="en-US"/>
              </w:rPr>
              <w:t xml:space="preserve">transcribed from audio recordings, and then translated into English. Data were managed </w:t>
            </w:r>
            <w:r w:rsidR="006B2841">
              <w:rPr>
                <w:rFonts w:ascii="Arial" w:eastAsia="Calibri" w:hAnsi="Arial" w:cs="Arial"/>
                <w:bCs/>
                <w:color w:val="000000" w:themeColor="text1"/>
                <w:lang w:val="en-GB" w:eastAsia="en-US"/>
              </w:rPr>
              <w:t>using</w:t>
            </w:r>
            <w:r w:rsidR="006B2841" w:rsidRPr="00712F6E">
              <w:rPr>
                <w:rFonts w:ascii="Arial" w:eastAsia="Calibri" w:hAnsi="Arial" w:cs="Arial"/>
                <w:bCs/>
                <w:color w:val="000000" w:themeColor="text1"/>
                <w:lang w:val="en-GB" w:eastAsia="en-US"/>
              </w:rPr>
              <w:t xml:space="preserve"> </w:t>
            </w:r>
            <w:r w:rsidRPr="00712F6E">
              <w:rPr>
                <w:rFonts w:ascii="Arial" w:eastAsia="Calibri" w:hAnsi="Arial" w:cs="Arial"/>
                <w:bCs/>
                <w:color w:val="000000" w:themeColor="text1"/>
                <w:lang w:val="en-GB" w:eastAsia="en-US"/>
              </w:rPr>
              <w:t>NVivo</w:t>
            </w:r>
            <w:r w:rsidR="00E341E8">
              <w:rPr>
                <w:rFonts w:ascii="Arial" w:eastAsia="Calibri" w:hAnsi="Arial" w:cs="Arial"/>
                <w:bCs/>
                <w:color w:val="000000" w:themeColor="text1"/>
                <w:lang w:val="en-GB" w:eastAsia="en-US"/>
              </w:rPr>
              <w:t xml:space="preserve"> and analysed using the </w:t>
            </w:r>
            <w:r w:rsidR="001E5A32" w:rsidRPr="001E5A32">
              <w:rPr>
                <w:rFonts w:ascii="Arial" w:eastAsia="Calibri" w:hAnsi="Arial" w:cs="Arial"/>
                <w:bCs/>
                <w:color w:val="000000" w:themeColor="text1"/>
                <w:lang w:val="en-GB" w:eastAsia="en-US"/>
              </w:rPr>
              <w:t>social-ecological model</w:t>
            </w:r>
            <w:r w:rsidR="00E336F8">
              <w:rPr>
                <w:rFonts w:ascii="Arial" w:eastAsia="Calibri" w:hAnsi="Arial" w:cs="Arial"/>
                <w:bCs/>
                <w:color w:val="000000" w:themeColor="text1"/>
                <w:lang w:val="en-GB" w:eastAsia="en-US"/>
              </w:rPr>
              <w:t xml:space="preserve"> </w:t>
            </w:r>
            <w:r w:rsidR="00053CDF">
              <w:rPr>
                <w:rFonts w:ascii="Arial" w:eastAsia="Calibri" w:hAnsi="Arial" w:cs="Arial"/>
                <w:bCs/>
                <w:color w:val="000000" w:themeColor="text1"/>
                <w:lang w:val="en-GB" w:eastAsia="en-US"/>
              </w:rPr>
              <w:t>approach.</w:t>
            </w:r>
          </w:p>
          <w:p w14:paraId="3F13F80F" w14:textId="5DD116BC" w:rsidR="00BC5FC9" w:rsidRDefault="00BC5FC9" w:rsidP="00BC5FC9">
            <w:pPr>
              <w:autoSpaceDE w:val="0"/>
              <w:autoSpaceDN w:val="0"/>
              <w:adjustRightInd w:val="0"/>
              <w:spacing w:line="360" w:lineRule="auto"/>
              <w:jc w:val="both"/>
              <w:rPr>
                <w:rFonts w:ascii="Arial" w:eastAsia="Calibri" w:hAnsi="Arial" w:cs="Arial"/>
                <w:b/>
                <w:color w:val="000000" w:themeColor="text1"/>
                <w:lang w:val="en-GB" w:eastAsia="en-US"/>
              </w:rPr>
            </w:pPr>
            <w:r w:rsidRPr="00BC5FC9">
              <w:rPr>
                <w:rFonts w:ascii="Arial" w:eastAsia="Calibri" w:hAnsi="Arial" w:cs="Arial"/>
                <w:b/>
                <w:color w:val="000000" w:themeColor="text1"/>
                <w:lang w:val="en-GB" w:eastAsia="en-US"/>
              </w:rPr>
              <w:t>RESULTS:</w:t>
            </w:r>
          </w:p>
          <w:p w14:paraId="434F1F08" w14:textId="0E0691F6" w:rsidR="00E341E8" w:rsidRPr="00BC5FC9" w:rsidRDefault="00D9148C" w:rsidP="00712F6E">
            <w:pPr>
              <w:autoSpaceDE w:val="0"/>
              <w:autoSpaceDN w:val="0"/>
              <w:adjustRightInd w:val="0"/>
              <w:spacing w:line="360" w:lineRule="auto"/>
              <w:jc w:val="both"/>
              <w:rPr>
                <w:rFonts w:ascii="Arial" w:eastAsia="Calibri" w:hAnsi="Arial" w:cs="Arial"/>
                <w:bCs/>
                <w:color w:val="000000" w:themeColor="text1"/>
                <w:lang w:val="en-GB" w:eastAsia="en-US"/>
              </w:rPr>
            </w:pPr>
            <w:r>
              <w:rPr>
                <w:rFonts w:ascii="Arial" w:eastAsia="Calibri" w:hAnsi="Arial" w:cs="Arial"/>
                <w:bCs/>
                <w:color w:val="000000" w:themeColor="text1"/>
                <w:lang w:val="en-GB" w:eastAsia="en-US"/>
              </w:rPr>
              <w:t>P</w:t>
            </w:r>
            <w:r w:rsidR="008C10F3">
              <w:rPr>
                <w:rFonts w:ascii="Arial" w:eastAsia="Calibri" w:hAnsi="Arial" w:cs="Arial"/>
                <w:bCs/>
                <w:color w:val="000000" w:themeColor="text1"/>
                <w:lang w:val="en-GB" w:eastAsia="en-US"/>
              </w:rPr>
              <w:t>ast</w:t>
            </w:r>
            <w:r>
              <w:rPr>
                <w:rFonts w:ascii="Arial" w:eastAsia="Calibri" w:hAnsi="Arial" w:cs="Arial"/>
                <w:bCs/>
                <w:color w:val="000000" w:themeColor="text1"/>
                <w:lang w:val="en-GB" w:eastAsia="en-US"/>
              </w:rPr>
              <w:t xml:space="preserve"> healthy</w:t>
            </w:r>
            <w:r w:rsidR="008C10F3">
              <w:rPr>
                <w:rFonts w:ascii="Arial" w:eastAsia="Calibri" w:hAnsi="Arial" w:cs="Arial"/>
                <w:bCs/>
                <w:color w:val="000000" w:themeColor="text1"/>
                <w:lang w:val="en-GB" w:eastAsia="en-US"/>
              </w:rPr>
              <w:t xml:space="preserve"> eating habits and </w:t>
            </w:r>
            <w:r w:rsidR="00201460">
              <w:rPr>
                <w:rFonts w:ascii="Arial" w:eastAsia="Calibri" w:hAnsi="Arial" w:cs="Arial"/>
                <w:bCs/>
                <w:color w:val="000000" w:themeColor="text1"/>
                <w:lang w:val="en-GB" w:eastAsia="en-US"/>
              </w:rPr>
              <w:t xml:space="preserve">perceived health benefits </w:t>
            </w:r>
            <w:r w:rsidR="008C10F3">
              <w:rPr>
                <w:rFonts w:ascii="Arial" w:eastAsia="Calibri" w:hAnsi="Arial" w:cs="Arial"/>
                <w:bCs/>
                <w:color w:val="000000" w:themeColor="text1"/>
                <w:lang w:val="en-GB" w:eastAsia="en-US"/>
              </w:rPr>
              <w:t>of nutritional intervention</w:t>
            </w:r>
            <w:r>
              <w:rPr>
                <w:rFonts w:ascii="Arial" w:eastAsia="Calibri" w:hAnsi="Arial" w:cs="Arial"/>
                <w:bCs/>
                <w:color w:val="000000" w:themeColor="text1"/>
                <w:lang w:val="en-GB" w:eastAsia="en-US"/>
              </w:rPr>
              <w:t>s</w:t>
            </w:r>
            <w:r w:rsidR="001A62E5">
              <w:rPr>
                <w:rFonts w:ascii="Arial" w:eastAsia="Calibri" w:hAnsi="Arial" w:cs="Arial"/>
                <w:bCs/>
                <w:color w:val="000000" w:themeColor="text1"/>
                <w:lang w:val="en-GB" w:eastAsia="en-US"/>
              </w:rPr>
              <w:t xml:space="preserve"> (</w:t>
            </w:r>
            <w:r w:rsidR="00C61CFB">
              <w:rPr>
                <w:rFonts w:ascii="Arial" w:eastAsia="Calibri" w:hAnsi="Arial" w:cs="Arial"/>
                <w:bCs/>
                <w:color w:val="000000" w:themeColor="text1"/>
                <w:lang w:val="en-GB" w:eastAsia="en-US"/>
              </w:rPr>
              <w:t>individual level</w:t>
            </w:r>
            <w:r w:rsidR="001A62E5">
              <w:rPr>
                <w:rFonts w:ascii="Arial" w:eastAsia="Calibri" w:hAnsi="Arial" w:cs="Arial"/>
                <w:bCs/>
                <w:color w:val="000000" w:themeColor="text1"/>
                <w:lang w:val="en-GB" w:eastAsia="en-US"/>
              </w:rPr>
              <w:t>); and d</w:t>
            </w:r>
            <w:r w:rsidR="008C10F3">
              <w:rPr>
                <w:rFonts w:ascii="Arial" w:eastAsia="Calibri" w:hAnsi="Arial" w:cs="Arial"/>
                <w:bCs/>
                <w:color w:val="000000" w:themeColor="text1"/>
                <w:lang w:val="en-GB" w:eastAsia="en-US"/>
              </w:rPr>
              <w:t>octor’s advice and family support</w:t>
            </w:r>
            <w:r w:rsidR="001A62E5">
              <w:rPr>
                <w:rFonts w:ascii="Arial" w:eastAsia="Calibri" w:hAnsi="Arial" w:cs="Arial"/>
                <w:bCs/>
                <w:color w:val="000000" w:themeColor="text1"/>
                <w:lang w:val="en-GB" w:eastAsia="en-US"/>
              </w:rPr>
              <w:t xml:space="preserve"> (interpersonal level)</w:t>
            </w:r>
            <w:r w:rsidR="008C10F3">
              <w:rPr>
                <w:rFonts w:ascii="Arial" w:eastAsia="Calibri" w:hAnsi="Arial" w:cs="Arial"/>
                <w:bCs/>
                <w:color w:val="000000" w:themeColor="text1"/>
                <w:lang w:val="en-GB" w:eastAsia="en-US"/>
              </w:rPr>
              <w:t xml:space="preserve"> motivated participants to adopt nutritional intervention</w:t>
            </w:r>
            <w:r>
              <w:rPr>
                <w:rFonts w:ascii="Arial" w:eastAsia="Calibri" w:hAnsi="Arial" w:cs="Arial"/>
                <w:bCs/>
                <w:color w:val="000000" w:themeColor="text1"/>
                <w:lang w:val="en-GB" w:eastAsia="en-US"/>
              </w:rPr>
              <w:t>s</w:t>
            </w:r>
            <w:r w:rsidR="008C10F3">
              <w:rPr>
                <w:rFonts w:ascii="Arial" w:eastAsia="Calibri" w:hAnsi="Arial" w:cs="Arial"/>
                <w:bCs/>
                <w:color w:val="000000" w:themeColor="text1"/>
                <w:lang w:val="en-GB" w:eastAsia="en-US"/>
              </w:rPr>
              <w:t>.</w:t>
            </w:r>
            <w:r w:rsidR="00E047F3">
              <w:rPr>
                <w:rFonts w:ascii="Arial" w:eastAsia="Calibri" w:hAnsi="Arial" w:cs="Arial"/>
                <w:bCs/>
                <w:color w:val="000000" w:themeColor="text1"/>
                <w:lang w:val="en-GB" w:eastAsia="en-US"/>
              </w:rPr>
              <w:t xml:space="preserve"> </w:t>
            </w:r>
            <w:r w:rsidR="00B63866" w:rsidRPr="0031653E">
              <w:rPr>
                <w:rFonts w:ascii="Arial" w:eastAsia="Calibri" w:hAnsi="Arial" w:cs="Arial"/>
                <w:bCs/>
                <w:color w:val="000000" w:themeColor="text1"/>
                <w:lang w:val="en-GB" w:eastAsia="en-US"/>
              </w:rPr>
              <w:t xml:space="preserve">Conversely, </w:t>
            </w:r>
            <w:r w:rsidR="00CA0AE3">
              <w:rPr>
                <w:rFonts w:ascii="Arial" w:eastAsia="Calibri" w:hAnsi="Arial" w:cs="Arial"/>
                <w:bCs/>
                <w:color w:val="000000" w:themeColor="text1"/>
                <w:lang w:val="en-GB" w:eastAsia="en-US"/>
              </w:rPr>
              <w:t>person</w:t>
            </w:r>
            <w:r w:rsidR="00B63866">
              <w:rPr>
                <w:rFonts w:ascii="Arial" w:eastAsia="Calibri" w:hAnsi="Arial" w:cs="Arial"/>
                <w:bCs/>
                <w:color w:val="000000" w:themeColor="text1"/>
                <w:lang w:val="en-GB" w:eastAsia="en-US"/>
              </w:rPr>
              <w:t xml:space="preserve">al </w:t>
            </w:r>
            <w:r w:rsidR="001F556B">
              <w:rPr>
                <w:rFonts w:ascii="Arial" w:eastAsia="Calibri" w:hAnsi="Arial" w:cs="Arial"/>
                <w:bCs/>
                <w:color w:val="000000" w:themeColor="text1"/>
                <w:lang w:val="en-GB" w:eastAsia="en-US"/>
              </w:rPr>
              <w:t xml:space="preserve">food </w:t>
            </w:r>
            <w:r w:rsidR="00B63866">
              <w:rPr>
                <w:rFonts w:ascii="Arial" w:eastAsia="Calibri" w:hAnsi="Arial" w:cs="Arial"/>
                <w:bCs/>
                <w:color w:val="000000" w:themeColor="text1"/>
                <w:lang w:val="en-GB" w:eastAsia="en-US"/>
              </w:rPr>
              <w:t>preference</w:t>
            </w:r>
            <w:r w:rsidR="00CE0391">
              <w:rPr>
                <w:rFonts w:ascii="Arial" w:eastAsia="Calibri" w:hAnsi="Arial" w:cs="Arial"/>
                <w:bCs/>
                <w:color w:val="000000" w:themeColor="text1"/>
                <w:lang w:val="en-GB" w:eastAsia="en-US"/>
              </w:rPr>
              <w:t xml:space="preserve"> and </w:t>
            </w:r>
            <w:r w:rsidR="00E047F3">
              <w:rPr>
                <w:rFonts w:ascii="Arial" w:eastAsia="Calibri" w:hAnsi="Arial" w:cs="Arial"/>
                <w:bCs/>
                <w:color w:val="000000" w:themeColor="text1"/>
                <w:lang w:val="en-GB" w:eastAsia="en-US"/>
              </w:rPr>
              <w:t>eating out</w:t>
            </w:r>
            <w:r w:rsidR="00CE0391">
              <w:rPr>
                <w:rFonts w:ascii="Arial" w:eastAsia="Calibri" w:hAnsi="Arial" w:cs="Arial"/>
                <w:bCs/>
                <w:color w:val="000000" w:themeColor="text1"/>
                <w:lang w:val="en-GB" w:eastAsia="en-US"/>
              </w:rPr>
              <w:t xml:space="preserve"> practice</w:t>
            </w:r>
            <w:r w:rsidR="00B63866">
              <w:rPr>
                <w:rFonts w:ascii="Arial" w:eastAsia="Calibri" w:hAnsi="Arial" w:cs="Arial"/>
                <w:bCs/>
                <w:color w:val="000000" w:themeColor="text1"/>
                <w:lang w:val="en-GB" w:eastAsia="en-US"/>
              </w:rPr>
              <w:t xml:space="preserve"> inhibited individuals from adhering to nutritional interventions. Negative </w:t>
            </w:r>
            <w:r w:rsidR="008261ED">
              <w:rPr>
                <w:rFonts w:ascii="Arial" w:eastAsia="Calibri" w:hAnsi="Arial" w:cs="Arial"/>
                <w:bCs/>
                <w:color w:val="000000" w:themeColor="text1"/>
                <w:lang w:val="en-GB" w:eastAsia="en-US"/>
              </w:rPr>
              <w:t xml:space="preserve">practices of </w:t>
            </w:r>
            <w:r w:rsidR="00B63866">
              <w:rPr>
                <w:rFonts w:ascii="Arial" w:eastAsia="Calibri" w:hAnsi="Arial" w:cs="Arial"/>
                <w:bCs/>
                <w:color w:val="000000" w:themeColor="text1"/>
                <w:lang w:val="en-GB" w:eastAsia="en-US"/>
              </w:rPr>
              <w:t>family and friends</w:t>
            </w:r>
            <w:r w:rsidR="00053CDF">
              <w:rPr>
                <w:rFonts w:ascii="Arial" w:eastAsia="Calibri" w:hAnsi="Arial" w:cs="Arial"/>
                <w:bCs/>
                <w:color w:val="000000" w:themeColor="text1"/>
                <w:lang w:val="en-GB" w:eastAsia="en-US"/>
              </w:rPr>
              <w:t xml:space="preserve"> (</w:t>
            </w:r>
            <w:r w:rsidR="00E829E3">
              <w:rPr>
                <w:rFonts w:ascii="Arial" w:eastAsia="Calibri" w:hAnsi="Arial" w:cs="Arial"/>
                <w:bCs/>
                <w:color w:val="000000" w:themeColor="text1"/>
                <w:lang w:val="en-GB" w:eastAsia="en-US"/>
              </w:rPr>
              <w:t>interpersonal</w:t>
            </w:r>
            <w:r w:rsidR="00053CDF">
              <w:rPr>
                <w:rFonts w:ascii="Arial" w:eastAsia="Calibri" w:hAnsi="Arial" w:cs="Arial"/>
                <w:bCs/>
                <w:color w:val="000000" w:themeColor="text1"/>
                <w:lang w:val="en-GB" w:eastAsia="en-US"/>
              </w:rPr>
              <w:t xml:space="preserve"> level)</w:t>
            </w:r>
            <w:r w:rsidR="00E829E3">
              <w:rPr>
                <w:rFonts w:ascii="Arial" w:eastAsia="Calibri" w:hAnsi="Arial" w:cs="Arial"/>
                <w:bCs/>
                <w:color w:val="000000" w:themeColor="text1"/>
                <w:lang w:val="en-GB" w:eastAsia="en-US"/>
              </w:rPr>
              <w:t>;</w:t>
            </w:r>
            <w:r w:rsidR="00CE0391">
              <w:rPr>
                <w:rFonts w:ascii="Arial" w:eastAsia="Calibri" w:hAnsi="Arial" w:cs="Arial"/>
                <w:bCs/>
                <w:color w:val="000000" w:themeColor="text1"/>
                <w:lang w:val="en-GB" w:eastAsia="en-US"/>
              </w:rPr>
              <w:t xml:space="preserve"> </w:t>
            </w:r>
            <w:r w:rsidR="00E829E3" w:rsidRPr="00E047F3">
              <w:rPr>
                <w:rFonts w:ascii="Arial" w:eastAsia="Calibri" w:hAnsi="Arial" w:cs="Arial"/>
                <w:bCs/>
                <w:color w:val="000000" w:themeColor="text1"/>
                <w:lang w:val="en-GB" w:eastAsia="en-US"/>
              </w:rPr>
              <w:t>gender roles relating to cooking</w:t>
            </w:r>
            <w:r w:rsidR="00E829E3">
              <w:rPr>
                <w:rFonts w:ascii="Arial" w:eastAsia="Calibri" w:hAnsi="Arial" w:cs="Arial"/>
                <w:bCs/>
                <w:color w:val="000000" w:themeColor="text1"/>
                <w:lang w:val="en-GB" w:eastAsia="en-US"/>
              </w:rPr>
              <w:t xml:space="preserve">, and </w:t>
            </w:r>
            <w:r w:rsidR="00CE0391" w:rsidRPr="00CE0391">
              <w:rPr>
                <w:rFonts w:ascii="Arial" w:eastAsia="Calibri" w:hAnsi="Arial" w:cs="Arial"/>
                <w:bCs/>
                <w:color w:val="000000" w:themeColor="text1"/>
                <w:lang w:val="en-GB" w:eastAsia="en-US"/>
              </w:rPr>
              <w:t xml:space="preserve">cultural relevance of information </w:t>
            </w:r>
            <w:r w:rsidR="00053CDF">
              <w:rPr>
                <w:rFonts w:ascii="Arial" w:eastAsia="Calibri" w:hAnsi="Arial" w:cs="Arial"/>
                <w:bCs/>
                <w:color w:val="000000" w:themeColor="text1"/>
                <w:lang w:val="en-GB" w:eastAsia="en-US"/>
              </w:rPr>
              <w:t>(c</w:t>
            </w:r>
            <w:r w:rsidR="00E829E3">
              <w:rPr>
                <w:rFonts w:ascii="Arial" w:eastAsia="Calibri" w:hAnsi="Arial" w:cs="Arial"/>
                <w:bCs/>
                <w:color w:val="000000" w:themeColor="text1"/>
                <w:lang w:val="en-GB" w:eastAsia="en-US"/>
              </w:rPr>
              <w:t xml:space="preserve">ommunity </w:t>
            </w:r>
            <w:r w:rsidR="008261ED">
              <w:rPr>
                <w:rFonts w:ascii="Arial" w:eastAsia="Calibri" w:hAnsi="Arial" w:cs="Arial"/>
                <w:bCs/>
                <w:color w:val="000000" w:themeColor="text1"/>
                <w:lang w:val="en-GB" w:eastAsia="en-US"/>
              </w:rPr>
              <w:t>level</w:t>
            </w:r>
            <w:r w:rsidR="00053CDF">
              <w:rPr>
                <w:rFonts w:ascii="Arial" w:eastAsia="Calibri" w:hAnsi="Arial" w:cs="Arial"/>
                <w:bCs/>
                <w:color w:val="000000" w:themeColor="text1"/>
                <w:lang w:val="en-GB" w:eastAsia="en-US"/>
              </w:rPr>
              <w:t>)</w:t>
            </w:r>
            <w:r w:rsidR="00481668">
              <w:rPr>
                <w:rFonts w:ascii="Arial" w:eastAsia="Calibri" w:hAnsi="Arial" w:cs="Arial"/>
                <w:bCs/>
                <w:color w:val="000000" w:themeColor="text1"/>
                <w:lang w:val="en-GB" w:eastAsia="en-US"/>
              </w:rPr>
              <w:t xml:space="preserve">; and </w:t>
            </w:r>
            <w:r w:rsidR="00E829E3">
              <w:rPr>
                <w:rFonts w:ascii="Arial" w:eastAsia="Calibri" w:hAnsi="Arial" w:cs="Arial"/>
                <w:bCs/>
                <w:color w:val="000000" w:themeColor="text1"/>
                <w:lang w:val="en-GB" w:eastAsia="en-US"/>
              </w:rPr>
              <w:t xml:space="preserve">food </w:t>
            </w:r>
            <w:r w:rsidR="00E14919">
              <w:rPr>
                <w:rFonts w:ascii="Arial" w:eastAsia="Calibri" w:hAnsi="Arial" w:cs="Arial"/>
                <w:bCs/>
                <w:color w:val="000000" w:themeColor="text1"/>
                <w:lang w:val="en-GB" w:eastAsia="en-US"/>
              </w:rPr>
              <w:t>security</w:t>
            </w:r>
            <w:r w:rsidR="00E829E3">
              <w:rPr>
                <w:rFonts w:ascii="Arial" w:eastAsia="Calibri" w:hAnsi="Arial" w:cs="Arial"/>
                <w:bCs/>
                <w:color w:val="000000" w:themeColor="text1"/>
                <w:lang w:val="en-GB" w:eastAsia="en-US"/>
              </w:rPr>
              <w:t xml:space="preserve"> challenges </w:t>
            </w:r>
            <w:r>
              <w:rPr>
                <w:rFonts w:ascii="Arial" w:eastAsia="Calibri" w:hAnsi="Arial" w:cs="Arial"/>
                <w:bCs/>
                <w:color w:val="000000" w:themeColor="text1"/>
                <w:lang w:val="en-GB" w:eastAsia="en-US"/>
              </w:rPr>
              <w:t xml:space="preserve">due to movement control order during the </w:t>
            </w:r>
            <w:r w:rsidR="00E829E3" w:rsidRPr="00E829E3">
              <w:rPr>
                <w:rFonts w:ascii="Arial" w:eastAsia="Calibri" w:hAnsi="Arial" w:cs="Arial"/>
                <w:bCs/>
                <w:color w:val="000000" w:themeColor="text1"/>
                <w:lang w:val="en-GB" w:eastAsia="en-US"/>
              </w:rPr>
              <w:t xml:space="preserve">COVID-19 pandemic </w:t>
            </w:r>
            <w:r w:rsidR="00053CDF">
              <w:rPr>
                <w:rFonts w:ascii="Arial" w:eastAsia="Calibri" w:hAnsi="Arial" w:cs="Arial"/>
                <w:bCs/>
                <w:color w:val="000000" w:themeColor="text1"/>
                <w:lang w:val="en-GB" w:eastAsia="en-US"/>
              </w:rPr>
              <w:t>(</w:t>
            </w:r>
            <w:r w:rsidR="00481668">
              <w:rPr>
                <w:rFonts w:ascii="Arial" w:eastAsia="Calibri" w:hAnsi="Arial" w:cs="Arial"/>
                <w:bCs/>
                <w:color w:val="000000" w:themeColor="text1"/>
                <w:lang w:val="en-GB" w:eastAsia="en-US"/>
              </w:rPr>
              <w:t>public policy</w:t>
            </w:r>
            <w:r w:rsidR="00053CDF">
              <w:rPr>
                <w:rFonts w:ascii="Arial" w:eastAsia="Calibri" w:hAnsi="Arial" w:cs="Arial"/>
                <w:bCs/>
                <w:color w:val="000000" w:themeColor="text1"/>
                <w:lang w:val="en-GB" w:eastAsia="en-US"/>
              </w:rPr>
              <w:t xml:space="preserve"> level)</w:t>
            </w:r>
            <w:r w:rsidR="00481668">
              <w:rPr>
                <w:rFonts w:ascii="Arial" w:eastAsia="Calibri" w:hAnsi="Arial" w:cs="Arial"/>
                <w:bCs/>
                <w:color w:val="000000" w:themeColor="text1"/>
                <w:lang w:val="en-GB" w:eastAsia="en-US"/>
              </w:rPr>
              <w:t xml:space="preserve"> </w:t>
            </w:r>
            <w:r w:rsidR="00E829E3">
              <w:rPr>
                <w:rFonts w:ascii="Arial" w:eastAsia="Calibri" w:hAnsi="Arial" w:cs="Arial"/>
                <w:bCs/>
                <w:color w:val="000000" w:themeColor="text1"/>
                <w:lang w:val="en-GB" w:eastAsia="en-US"/>
              </w:rPr>
              <w:t>barred participants from embracing nutritional interventions.</w:t>
            </w:r>
            <w:r w:rsidR="00E341E8">
              <w:rPr>
                <w:rFonts w:ascii="Arial" w:eastAsia="Calibri" w:hAnsi="Arial" w:cs="Arial"/>
                <w:bCs/>
                <w:color w:val="000000" w:themeColor="text1"/>
                <w:lang w:val="en-GB" w:eastAsia="en-US"/>
              </w:rPr>
              <w:t xml:space="preserve"> </w:t>
            </w:r>
          </w:p>
          <w:p w14:paraId="4DC6E590" w14:textId="77777777" w:rsidR="00BC5FC9" w:rsidRPr="00BC5FC9" w:rsidRDefault="00BC5FC9" w:rsidP="00BC5FC9">
            <w:pPr>
              <w:autoSpaceDE w:val="0"/>
              <w:autoSpaceDN w:val="0"/>
              <w:adjustRightInd w:val="0"/>
              <w:spacing w:line="360" w:lineRule="auto"/>
              <w:jc w:val="both"/>
              <w:rPr>
                <w:rFonts w:ascii="Arial" w:eastAsia="Calibri" w:hAnsi="Arial" w:cs="Arial"/>
                <w:b/>
                <w:color w:val="000000" w:themeColor="text1"/>
                <w:lang w:val="en-GB" w:eastAsia="en-US"/>
              </w:rPr>
            </w:pPr>
            <w:r w:rsidRPr="00BC5FC9">
              <w:rPr>
                <w:rFonts w:ascii="Arial" w:eastAsia="Calibri" w:hAnsi="Arial" w:cs="Arial"/>
                <w:b/>
                <w:color w:val="000000" w:themeColor="text1"/>
                <w:lang w:val="en-GB" w:eastAsia="en-US"/>
              </w:rPr>
              <w:t>DISCUSSION:</w:t>
            </w:r>
          </w:p>
          <w:p w14:paraId="6261A059" w14:textId="2D1A3514" w:rsidR="00BC5FC9" w:rsidRPr="00BC5FC9" w:rsidRDefault="00D9148C" w:rsidP="00BC5FC9">
            <w:pPr>
              <w:autoSpaceDE w:val="0"/>
              <w:autoSpaceDN w:val="0"/>
              <w:adjustRightInd w:val="0"/>
              <w:spacing w:line="360" w:lineRule="auto"/>
              <w:jc w:val="both"/>
              <w:rPr>
                <w:rFonts w:ascii="Arial" w:eastAsia="Calibri" w:hAnsi="Arial" w:cs="Arial"/>
                <w:bCs/>
                <w:color w:val="000000" w:themeColor="text1"/>
                <w:lang w:val="en-GB" w:eastAsia="en-US"/>
              </w:rPr>
            </w:pPr>
            <w:r>
              <w:rPr>
                <w:rFonts w:ascii="Arial" w:eastAsia="Calibri" w:hAnsi="Arial" w:cs="Arial"/>
                <w:bCs/>
                <w:color w:val="000000" w:themeColor="text1"/>
                <w:lang w:val="en-GB" w:eastAsia="en-US"/>
              </w:rPr>
              <w:t>A</w:t>
            </w:r>
            <w:r w:rsidR="00B56311">
              <w:rPr>
                <w:rFonts w:ascii="Arial" w:eastAsia="Calibri" w:hAnsi="Arial" w:cs="Arial"/>
                <w:bCs/>
                <w:color w:val="000000" w:themeColor="text1"/>
                <w:lang w:val="en-GB" w:eastAsia="en-US"/>
              </w:rPr>
              <w:t xml:space="preserve"> complex array of </w:t>
            </w:r>
            <w:r w:rsidR="00053CDF">
              <w:rPr>
                <w:rFonts w:ascii="Arial" w:eastAsia="Calibri" w:hAnsi="Arial" w:cs="Arial"/>
                <w:bCs/>
                <w:color w:val="000000" w:themeColor="text1"/>
                <w:lang w:val="en-GB" w:eastAsia="en-US"/>
              </w:rPr>
              <w:t xml:space="preserve">facilitators and </w:t>
            </w:r>
            <w:r w:rsidR="001A62E5">
              <w:rPr>
                <w:rFonts w:ascii="Arial" w:eastAsia="Calibri" w:hAnsi="Arial" w:cs="Arial"/>
                <w:bCs/>
                <w:color w:val="000000" w:themeColor="text1"/>
                <w:lang w:val="en-GB" w:eastAsia="en-US"/>
              </w:rPr>
              <w:t>barriers across</w:t>
            </w:r>
            <w:r w:rsidR="00E829E3">
              <w:rPr>
                <w:rFonts w:ascii="Arial" w:eastAsia="Calibri" w:hAnsi="Arial" w:cs="Arial"/>
                <w:bCs/>
                <w:color w:val="000000" w:themeColor="text1"/>
                <w:lang w:val="en-GB" w:eastAsia="en-US"/>
              </w:rPr>
              <w:t xml:space="preserve"> the socio-ecological realm </w:t>
            </w:r>
            <w:r w:rsidR="00B56311">
              <w:rPr>
                <w:rFonts w:ascii="Arial" w:eastAsia="Calibri" w:hAnsi="Arial" w:cs="Arial"/>
                <w:bCs/>
                <w:color w:val="000000" w:themeColor="text1"/>
                <w:lang w:val="en-GB" w:eastAsia="en-US"/>
              </w:rPr>
              <w:t xml:space="preserve">influence </w:t>
            </w:r>
            <w:r w:rsidR="00BA4F97">
              <w:rPr>
                <w:rFonts w:ascii="Arial" w:eastAsia="Calibri" w:hAnsi="Arial" w:cs="Arial"/>
                <w:bCs/>
                <w:color w:val="000000" w:themeColor="text1"/>
                <w:lang w:val="en-GB" w:eastAsia="en-US"/>
              </w:rPr>
              <w:t xml:space="preserve">older people’s </w:t>
            </w:r>
            <w:r w:rsidR="00E336F8">
              <w:rPr>
                <w:rFonts w:ascii="Arial" w:eastAsia="Calibri" w:hAnsi="Arial" w:cs="Arial"/>
                <w:bCs/>
                <w:color w:val="000000" w:themeColor="text1"/>
                <w:lang w:val="en-GB" w:eastAsia="en-US"/>
              </w:rPr>
              <w:t>adherence to</w:t>
            </w:r>
            <w:r w:rsidR="00B56311">
              <w:rPr>
                <w:rFonts w:ascii="Arial" w:eastAsia="Calibri" w:hAnsi="Arial" w:cs="Arial"/>
                <w:bCs/>
                <w:color w:val="000000" w:themeColor="text1"/>
                <w:lang w:val="en-GB" w:eastAsia="en-US"/>
              </w:rPr>
              <w:t xml:space="preserve"> </w:t>
            </w:r>
            <w:r w:rsidR="005753ED">
              <w:rPr>
                <w:rFonts w:ascii="Arial" w:eastAsia="Calibri" w:hAnsi="Arial" w:cs="Arial"/>
                <w:bCs/>
                <w:color w:val="000000" w:themeColor="text1"/>
                <w:lang w:val="en-GB" w:eastAsia="en-US"/>
              </w:rPr>
              <w:t>nutritional intervention</w:t>
            </w:r>
            <w:r w:rsidR="00053CDF">
              <w:rPr>
                <w:rFonts w:ascii="Arial" w:eastAsia="Calibri" w:hAnsi="Arial" w:cs="Arial"/>
                <w:bCs/>
                <w:color w:val="000000" w:themeColor="text1"/>
                <w:lang w:val="en-GB" w:eastAsia="en-US"/>
              </w:rPr>
              <w:t>s</w:t>
            </w:r>
            <w:r w:rsidR="00BA4F97">
              <w:rPr>
                <w:rFonts w:ascii="Arial" w:eastAsia="Calibri" w:hAnsi="Arial" w:cs="Arial"/>
                <w:bCs/>
                <w:color w:val="000000" w:themeColor="text1"/>
                <w:lang w:val="en-GB" w:eastAsia="en-US"/>
              </w:rPr>
              <w:t>.</w:t>
            </w:r>
            <w:r w:rsidR="00712F6E" w:rsidRPr="00712F6E">
              <w:rPr>
                <w:rFonts w:ascii="Arial" w:eastAsia="Calibri" w:hAnsi="Arial" w:cs="Arial"/>
                <w:bCs/>
                <w:color w:val="000000" w:themeColor="text1"/>
                <w:lang w:val="en-GB" w:eastAsia="en-US"/>
              </w:rPr>
              <w:t xml:space="preserve"> </w:t>
            </w:r>
            <w:r w:rsidR="00E829E3">
              <w:rPr>
                <w:rFonts w:ascii="Arial" w:eastAsia="Calibri" w:hAnsi="Arial" w:cs="Arial"/>
                <w:bCs/>
                <w:color w:val="000000" w:themeColor="text1"/>
                <w:lang w:val="en-GB" w:eastAsia="en-US"/>
              </w:rPr>
              <w:t xml:space="preserve">Hence, a multi-faceted approach targeting all stakeholders is required in </w:t>
            </w:r>
            <w:r w:rsidR="00CA0AE3">
              <w:rPr>
                <w:rFonts w:ascii="Arial" w:eastAsia="Calibri" w:hAnsi="Arial" w:cs="Arial"/>
                <w:bCs/>
                <w:color w:val="000000" w:themeColor="text1"/>
                <w:lang w:val="en-GB" w:eastAsia="en-US"/>
              </w:rPr>
              <w:t xml:space="preserve">the </w:t>
            </w:r>
            <w:r w:rsidR="00E829E3">
              <w:rPr>
                <w:rFonts w:ascii="Arial" w:eastAsia="Calibri" w:hAnsi="Arial" w:cs="Arial"/>
                <w:bCs/>
                <w:color w:val="000000" w:themeColor="text1"/>
                <w:lang w:val="en-GB" w:eastAsia="en-US"/>
              </w:rPr>
              <w:t xml:space="preserve">planning and implementation of nutritional interventions. </w:t>
            </w:r>
            <w:r w:rsidR="00712F6E" w:rsidRPr="00712F6E">
              <w:rPr>
                <w:rFonts w:ascii="Arial" w:eastAsia="Calibri" w:hAnsi="Arial" w:cs="Arial"/>
                <w:bCs/>
                <w:color w:val="000000" w:themeColor="text1"/>
                <w:lang w:val="en-GB" w:eastAsia="en-US"/>
              </w:rPr>
              <w:t>These insights can be used to guide the government to better facilitate positive public health nutrition policy change among older adults in</w:t>
            </w:r>
            <w:r w:rsidR="001E5A32">
              <w:rPr>
                <w:rFonts w:ascii="Arial" w:eastAsia="Calibri" w:hAnsi="Arial" w:cs="Arial"/>
                <w:bCs/>
                <w:color w:val="000000" w:themeColor="text1"/>
                <w:lang w:val="en-GB" w:eastAsia="en-US"/>
              </w:rPr>
              <w:t xml:space="preserve"> </w:t>
            </w:r>
            <w:r w:rsidR="001E5A32" w:rsidRPr="001E5A32">
              <w:rPr>
                <w:rFonts w:ascii="Arial" w:eastAsia="Calibri" w:hAnsi="Arial" w:cs="Arial"/>
                <w:bCs/>
                <w:color w:val="000000" w:themeColor="text1"/>
                <w:lang w:val="en-GB" w:eastAsia="en-US"/>
              </w:rPr>
              <w:t>low</w:t>
            </w:r>
            <w:r w:rsidR="00165CCA">
              <w:rPr>
                <w:rFonts w:ascii="Arial" w:eastAsia="Calibri" w:hAnsi="Arial" w:cs="Arial"/>
                <w:bCs/>
                <w:color w:val="000000" w:themeColor="text1"/>
                <w:lang w:val="en-GB" w:eastAsia="en-US"/>
              </w:rPr>
              <w:t xml:space="preserve">- and </w:t>
            </w:r>
            <w:r w:rsidR="001E5A32" w:rsidRPr="001E5A32">
              <w:rPr>
                <w:rFonts w:ascii="Arial" w:eastAsia="Calibri" w:hAnsi="Arial" w:cs="Arial"/>
                <w:bCs/>
                <w:color w:val="000000" w:themeColor="text1"/>
                <w:lang w:val="en-GB" w:eastAsia="en-US"/>
              </w:rPr>
              <w:t>middle-income countries</w:t>
            </w:r>
            <w:r w:rsidR="00712F6E" w:rsidRPr="00712F6E">
              <w:rPr>
                <w:rFonts w:ascii="Arial" w:eastAsia="Calibri" w:hAnsi="Arial" w:cs="Arial"/>
                <w:bCs/>
                <w:color w:val="000000" w:themeColor="text1"/>
                <w:lang w:val="en-GB" w:eastAsia="en-US"/>
              </w:rPr>
              <w:t xml:space="preserve"> context.</w:t>
            </w:r>
          </w:p>
          <w:p w14:paraId="56516AC5" w14:textId="77777777" w:rsidR="00BC5FC9" w:rsidRPr="00BC5FC9" w:rsidRDefault="00BC5FC9" w:rsidP="00BC5FC9">
            <w:pPr>
              <w:autoSpaceDE w:val="0"/>
              <w:autoSpaceDN w:val="0"/>
              <w:adjustRightInd w:val="0"/>
              <w:spacing w:line="360" w:lineRule="auto"/>
              <w:jc w:val="both"/>
              <w:rPr>
                <w:rFonts w:ascii="Arial" w:eastAsia="Calibri" w:hAnsi="Arial" w:cs="Arial"/>
                <w:b/>
                <w:color w:val="000000" w:themeColor="text1"/>
                <w:lang w:val="en-GB" w:eastAsia="en-US"/>
              </w:rPr>
            </w:pPr>
          </w:p>
          <w:p w14:paraId="0C79EBC0" w14:textId="189F0899" w:rsidR="00BC5FC9" w:rsidRPr="00BC5FC9" w:rsidRDefault="00712F6E" w:rsidP="0031653E">
            <w:pPr>
              <w:ind w:hanging="90"/>
              <w:rPr>
                <w:rFonts w:ascii="Times New Roman" w:eastAsia="Calibri" w:hAnsi="Times New Roman" w:cs="Times New Roman"/>
                <w:b/>
                <w:color w:val="0070C0"/>
                <w:sz w:val="28"/>
                <w:szCs w:val="28"/>
                <w:lang w:val="en-GB" w:eastAsia="en-US"/>
              </w:rPr>
            </w:pPr>
            <w:r>
              <w:rPr>
                <w:rFonts w:ascii="Arial" w:hAnsi="Arial" w:cs="Arial"/>
              </w:rPr>
              <w:t xml:space="preserve">(Word Count: </w:t>
            </w:r>
            <w:r w:rsidR="00E44E52">
              <w:rPr>
                <w:rFonts w:ascii="Arial" w:hAnsi="Arial" w:cs="Arial"/>
              </w:rPr>
              <w:t>298; excluding the subheadings</w:t>
            </w:r>
            <w:r>
              <w:rPr>
                <w:rFonts w:ascii="Arial" w:hAnsi="Arial" w:cs="Arial"/>
              </w:rPr>
              <w:t>)</w:t>
            </w:r>
          </w:p>
        </w:tc>
      </w:tr>
    </w:tbl>
    <w:p w14:paraId="7AE302C9" w14:textId="77777777" w:rsidR="0024665D" w:rsidRDefault="0024665D" w:rsidP="0031653E">
      <w:pPr>
        <w:spacing w:after="0" w:line="360" w:lineRule="auto"/>
        <w:jc w:val="both"/>
        <w:rPr>
          <w:rFonts w:ascii="Calibri Light" w:eastAsia="Calibri" w:hAnsi="Calibri Light" w:cs="Calibri Light"/>
          <w:i/>
          <w:sz w:val="18"/>
          <w:lang w:val="en-GB" w:eastAsia="en-US"/>
        </w:rPr>
      </w:pPr>
    </w:p>
    <w:p w14:paraId="42281A3A" w14:textId="077A5386" w:rsidR="004C1975" w:rsidRPr="00BC5FC9" w:rsidRDefault="004C1975" w:rsidP="0031653E">
      <w:pPr>
        <w:spacing w:after="0" w:line="360" w:lineRule="auto"/>
        <w:jc w:val="both"/>
        <w:rPr>
          <w:rFonts w:ascii="Times New Roman" w:eastAsia="Calibri" w:hAnsi="Times New Roman" w:cs="Times New Roman"/>
          <w:b/>
          <w:color w:val="0070C0"/>
          <w:sz w:val="28"/>
          <w:szCs w:val="28"/>
          <w:lang w:val="en-GB" w:eastAsia="en-US"/>
        </w:rPr>
      </w:pPr>
      <w:r w:rsidRPr="004C1975">
        <w:rPr>
          <w:rFonts w:ascii="Calibri Light" w:eastAsia="Calibri" w:hAnsi="Calibri Light" w:cs="Calibri Light"/>
          <w:i/>
          <w:sz w:val="18"/>
          <w:lang w:val="en-GB" w:eastAsia="en-US"/>
        </w:rPr>
        <w:t>This research was funded by the National Institute for Health Research (NIHR) (</w:t>
      </w:r>
      <w:r w:rsidRPr="004C1975">
        <w:rPr>
          <w:rFonts w:ascii="Calibri Light" w:eastAsia="Calibri" w:hAnsi="Calibri Light" w:cs="Calibri Light"/>
          <w:bCs/>
          <w:i/>
          <w:sz w:val="18"/>
          <w:lang w:val="en-AU" w:eastAsia="en-US"/>
        </w:rPr>
        <w:t>16/137/62 - Dementia Prevention and Enhanced Care (DePEC), Newcastle University, United Kingdom),</w:t>
      </w:r>
      <w:r w:rsidRPr="004C1975">
        <w:rPr>
          <w:rFonts w:ascii="Calibri Light" w:eastAsia="Calibri" w:hAnsi="Calibri Light" w:cs="Calibri Light"/>
          <w:i/>
          <w:sz w:val="18"/>
          <w:lang w:val="en-GB" w:eastAsia="en-US"/>
        </w:rPr>
        <w:t xml:space="preserve"> using UK aid from the UK Government to support global health research. The views expressed in this publication are those of the author(s) and not necessarily those of the NIHR or the UK Department of Health and Social Care.</w:t>
      </w:r>
    </w:p>
    <w:sectPr w:rsidR="004C1975" w:rsidRPr="00BC5FC9">
      <w:pgSz w:w="11906" w:h="16838"/>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A047" w16cex:dateUtc="2021-07-05T07:14:00Z"/>
  <w16cex:commentExtensible w16cex:durableId="248DAE7B" w16cex:dateUtc="2021-07-05T08:14:00Z"/>
  <w16cex:commentExtensible w16cex:durableId="248DAC10" w16cex:dateUtc="2021-07-05T08:04:00Z"/>
  <w16cex:commentExtensible w16cex:durableId="248DB00C" w16cex:dateUtc="2021-07-05T08:21:00Z"/>
  <w16cex:commentExtensible w16cex:durableId="248DB07B" w16cex:dateUtc="2021-07-05T08: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63D19"/>
    <w:multiLevelType w:val="hybridMultilevel"/>
    <w:tmpl w:val="DD708CA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rQwNTexsDQ0tzBW0lEKTi0uzszPAymwqAUAy3MxyCwAAAA="/>
  </w:docVars>
  <w:rsids>
    <w:rsidRoot w:val="00C53B57"/>
    <w:rsid w:val="00053CDF"/>
    <w:rsid w:val="000817C3"/>
    <w:rsid w:val="00112575"/>
    <w:rsid w:val="00137310"/>
    <w:rsid w:val="00165CCA"/>
    <w:rsid w:val="001A40AC"/>
    <w:rsid w:val="001A62E5"/>
    <w:rsid w:val="001B4CDA"/>
    <w:rsid w:val="001E5A32"/>
    <w:rsid w:val="001F556B"/>
    <w:rsid w:val="00201460"/>
    <w:rsid w:val="002209A5"/>
    <w:rsid w:val="0024665D"/>
    <w:rsid w:val="002A1812"/>
    <w:rsid w:val="00304EE8"/>
    <w:rsid w:val="0031653E"/>
    <w:rsid w:val="00325384"/>
    <w:rsid w:val="00361393"/>
    <w:rsid w:val="003C14E4"/>
    <w:rsid w:val="00481668"/>
    <w:rsid w:val="004B66FB"/>
    <w:rsid w:val="004C1975"/>
    <w:rsid w:val="004C1E6D"/>
    <w:rsid w:val="005059E9"/>
    <w:rsid w:val="0054325B"/>
    <w:rsid w:val="005753ED"/>
    <w:rsid w:val="005B788C"/>
    <w:rsid w:val="005D2E6F"/>
    <w:rsid w:val="006715B8"/>
    <w:rsid w:val="006B2841"/>
    <w:rsid w:val="00712F6E"/>
    <w:rsid w:val="007D62D1"/>
    <w:rsid w:val="008261ED"/>
    <w:rsid w:val="00844371"/>
    <w:rsid w:val="00846BDB"/>
    <w:rsid w:val="00870AB0"/>
    <w:rsid w:val="008C10F3"/>
    <w:rsid w:val="008D676E"/>
    <w:rsid w:val="00930EEE"/>
    <w:rsid w:val="0097269A"/>
    <w:rsid w:val="00A02DB1"/>
    <w:rsid w:val="00A03334"/>
    <w:rsid w:val="00A33436"/>
    <w:rsid w:val="00A55B3D"/>
    <w:rsid w:val="00A83B2C"/>
    <w:rsid w:val="00AE7AEF"/>
    <w:rsid w:val="00B56311"/>
    <w:rsid w:val="00B63866"/>
    <w:rsid w:val="00BA4F97"/>
    <w:rsid w:val="00BC5FC9"/>
    <w:rsid w:val="00BD4C3E"/>
    <w:rsid w:val="00BE4494"/>
    <w:rsid w:val="00C02FEC"/>
    <w:rsid w:val="00C2529D"/>
    <w:rsid w:val="00C53B57"/>
    <w:rsid w:val="00C61CFB"/>
    <w:rsid w:val="00C8434F"/>
    <w:rsid w:val="00C9725F"/>
    <w:rsid w:val="00CA0AE3"/>
    <w:rsid w:val="00CA4FB0"/>
    <w:rsid w:val="00CC533C"/>
    <w:rsid w:val="00CE0391"/>
    <w:rsid w:val="00CE6A9B"/>
    <w:rsid w:val="00D43238"/>
    <w:rsid w:val="00D9148C"/>
    <w:rsid w:val="00E01A21"/>
    <w:rsid w:val="00E030C7"/>
    <w:rsid w:val="00E047F3"/>
    <w:rsid w:val="00E14919"/>
    <w:rsid w:val="00E336F8"/>
    <w:rsid w:val="00E341E8"/>
    <w:rsid w:val="00E44E52"/>
    <w:rsid w:val="00E829E3"/>
    <w:rsid w:val="00EB3545"/>
    <w:rsid w:val="00EF1102"/>
    <w:rsid w:val="00F02D7D"/>
    <w:rsid w:val="00F14A9E"/>
    <w:rsid w:val="00F8253C"/>
    <w:rsid w:val="00FC5095"/>
    <w:rsid w:val="00FC7B6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1947"/>
  <w15:chartTrackingRefBased/>
  <w15:docId w15:val="{176D9CE2-6380-4326-AC31-7418B0BE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E6D"/>
    <w:rPr>
      <w:color w:val="0563C1" w:themeColor="hyperlink"/>
      <w:u w:val="single"/>
    </w:rPr>
  </w:style>
  <w:style w:type="character" w:customStyle="1" w:styleId="UnresolvedMention1">
    <w:name w:val="Unresolved Mention1"/>
    <w:basedOn w:val="DefaultParagraphFont"/>
    <w:uiPriority w:val="99"/>
    <w:semiHidden/>
    <w:unhideWhenUsed/>
    <w:rsid w:val="004C1E6D"/>
    <w:rPr>
      <w:color w:val="605E5C"/>
      <w:shd w:val="clear" w:color="auto" w:fill="E1DFDD"/>
    </w:rPr>
  </w:style>
  <w:style w:type="character" w:styleId="CommentReference">
    <w:name w:val="annotation reference"/>
    <w:basedOn w:val="DefaultParagraphFont"/>
    <w:uiPriority w:val="99"/>
    <w:semiHidden/>
    <w:unhideWhenUsed/>
    <w:rsid w:val="00112575"/>
    <w:rPr>
      <w:sz w:val="16"/>
      <w:szCs w:val="16"/>
    </w:rPr>
  </w:style>
  <w:style w:type="paragraph" w:styleId="CommentText">
    <w:name w:val="annotation text"/>
    <w:basedOn w:val="Normal"/>
    <w:link w:val="CommentTextChar"/>
    <w:uiPriority w:val="99"/>
    <w:semiHidden/>
    <w:unhideWhenUsed/>
    <w:rsid w:val="00112575"/>
    <w:pPr>
      <w:spacing w:line="240" w:lineRule="auto"/>
    </w:pPr>
    <w:rPr>
      <w:sz w:val="20"/>
      <w:szCs w:val="20"/>
    </w:rPr>
  </w:style>
  <w:style w:type="character" w:customStyle="1" w:styleId="CommentTextChar">
    <w:name w:val="Comment Text Char"/>
    <w:basedOn w:val="DefaultParagraphFont"/>
    <w:link w:val="CommentText"/>
    <w:uiPriority w:val="99"/>
    <w:semiHidden/>
    <w:rsid w:val="00112575"/>
    <w:rPr>
      <w:sz w:val="20"/>
      <w:szCs w:val="20"/>
    </w:rPr>
  </w:style>
  <w:style w:type="paragraph" w:styleId="CommentSubject">
    <w:name w:val="annotation subject"/>
    <w:basedOn w:val="CommentText"/>
    <w:next w:val="CommentText"/>
    <w:link w:val="CommentSubjectChar"/>
    <w:uiPriority w:val="99"/>
    <w:semiHidden/>
    <w:unhideWhenUsed/>
    <w:rsid w:val="00112575"/>
    <w:rPr>
      <w:b/>
      <w:bCs/>
    </w:rPr>
  </w:style>
  <w:style w:type="character" w:customStyle="1" w:styleId="CommentSubjectChar">
    <w:name w:val="Comment Subject Char"/>
    <w:basedOn w:val="CommentTextChar"/>
    <w:link w:val="CommentSubject"/>
    <w:uiPriority w:val="99"/>
    <w:semiHidden/>
    <w:rsid w:val="00112575"/>
    <w:rPr>
      <w:b/>
      <w:bCs/>
      <w:sz w:val="20"/>
      <w:szCs w:val="20"/>
    </w:rPr>
  </w:style>
  <w:style w:type="paragraph" w:styleId="BalloonText">
    <w:name w:val="Balloon Text"/>
    <w:basedOn w:val="Normal"/>
    <w:link w:val="BalloonTextChar"/>
    <w:uiPriority w:val="99"/>
    <w:semiHidden/>
    <w:unhideWhenUsed/>
    <w:rsid w:val="00543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25B"/>
    <w:rPr>
      <w:rFonts w:ascii="Segoe UI" w:hAnsi="Segoe UI" w:cs="Segoe UI"/>
      <w:sz w:val="18"/>
      <w:szCs w:val="18"/>
    </w:rPr>
  </w:style>
  <w:style w:type="paragraph" w:styleId="Revision">
    <w:name w:val="Revision"/>
    <w:hidden/>
    <w:uiPriority w:val="99"/>
    <w:semiHidden/>
    <w:rsid w:val="00E336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649F5D126CA4CB689DA8109727F5B" ma:contentTypeVersion="14" ma:contentTypeDescription="Create a new document." ma:contentTypeScope="" ma:versionID="3b5db6f2a66ea0e8e35bb89117a644bd">
  <xsd:schema xmlns:xsd="http://www.w3.org/2001/XMLSchema" xmlns:xs="http://www.w3.org/2001/XMLSchema" xmlns:p="http://schemas.microsoft.com/office/2006/metadata/properties" xmlns:ns3="5bcec560-6a41-44bb-ad85-5d22d6f060c2" xmlns:ns4="107945d5-e777-467d-a40f-5068df84a43a" targetNamespace="http://schemas.microsoft.com/office/2006/metadata/properties" ma:root="true" ma:fieldsID="7c56714af62bceb096fd536e57e1e632" ns3:_="" ns4:_="">
    <xsd:import namespace="5bcec560-6a41-44bb-ad85-5d22d6f060c2"/>
    <xsd:import namespace="107945d5-e777-467d-a40f-5068df84a4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ec560-6a41-44bb-ad85-5d22d6f0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7945d5-e777-467d-a40f-5068df84a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2619D-EED0-4C85-BFDE-8158F6F5936F}">
  <ds:schemaRefs>
    <ds:schemaRef ds:uri="http://schemas.microsoft.com/sharepoint/v3/contenttype/forms"/>
  </ds:schemaRefs>
</ds:datastoreItem>
</file>

<file path=customXml/itemProps2.xml><?xml version="1.0" encoding="utf-8"?>
<ds:datastoreItem xmlns:ds="http://schemas.openxmlformats.org/officeDocument/2006/customXml" ds:itemID="{FC9998AD-83E2-4B7E-B062-BB0400356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ec560-6a41-44bb-ad85-5d22d6f060c2"/>
    <ds:schemaRef ds:uri="107945d5-e777-467d-a40f-5068df84a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D796D-7AF7-4279-A37B-A8E4292C9B99}">
  <ds:schemaRefs>
    <ds:schemaRef ds:uri="5bcec560-6a41-44bb-ad85-5d22d6f060c2"/>
    <ds:schemaRef ds:uri="http://purl.org/dc/terms/"/>
    <ds:schemaRef ds:uri="http://purl.org/dc/dcmitype/"/>
    <ds:schemaRef ds:uri="http://schemas.microsoft.com/office/2006/documentManagement/types"/>
    <ds:schemaRef ds:uri="http://purl.org/dc/elements/1.1/"/>
    <ds:schemaRef ds:uri="http://schemas.microsoft.com/office/2006/metadata/properties"/>
    <ds:schemaRef ds:uri="107945d5-e777-467d-a40f-5068df84a43a"/>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3426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Soh</dc:creator>
  <cp:keywords/>
  <dc:description/>
  <cp:lastModifiedBy>Terry Lisle</cp:lastModifiedBy>
  <cp:revision>2</cp:revision>
  <dcterms:created xsi:type="dcterms:W3CDTF">2021-07-16T08:56:00Z</dcterms:created>
  <dcterms:modified xsi:type="dcterms:W3CDTF">2021-07-16T08:56:00Z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0x010100351649F5D126CA4CB689DA8109727F5B</vt:lpwstr>
  </property>
</Properties>
</file>